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54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5E2273" w:rsidRPr="00025F6E" w14:paraId="0155EF6A" w14:textId="77777777" w:rsidTr="00FB502B">
        <w:tc>
          <w:tcPr>
            <w:tcW w:w="4508" w:type="dxa"/>
          </w:tcPr>
          <w:p w14:paraId="54FF83AB" w14:textId="77777777" w:rsidR="005E2273" w:rsidRPr="005263A9" w:rsidRDefault="005E2273" w:rsidP="00760196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5263A9">
              <w:rPr>
                <w:rFonts w:hAnsi="Calibr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696B1681" w14:textId="5D7C1178" w:rsidR="005E2273" w:rsidRPr="005263A9" w:rsidRDefault="005E2273" w:rsidP="00760196">
            <w:pPr>
              <w:rPr>
                <w:rFonts w:hAnsi="Calibri"/>
                <w:kern w:val="24"/>
                <w:sz w:val="21"/>
                <w:szCs w:val="21"/>
              </w:rPr>
            </w:pPr>
            <w:r w:rsidRPr="005263A9">
              <w:rPr>
                <w:rFonts w:hAnsi="Calibri"/>
                <w:kern w:val="24"/>
                <w:sz w:val="21"/>
                <w:szCs w:val="21"/>
              </w:rPr>
              <w:t>September 202</w:t>
            </w:r>
            <w:r w:rsidR="000069C2">
              <w:rPr>
                <w:rFonts w:hAnsi="Calibri"/>
                <w:kern w:val="24"/>
                <w:sz w:val="21"/>
                <w:szCs w:val="21"/>
              </w:rPr>
              <w:t>4</w:t>
            </w:r>
            <w:r w:rsidRPr="005263A9">
              <w:rPr>
                <w:rFonts w:hAnsi="Calibri"/>
                <w:kern w:val="24"/>
                <w:sz w:val="21"/>
                <w:szCs w:val="21"/>
              </w:rPr>
              <w:t>: £</w:t>
            </w:r>
            <w:r w:rsidR="000069C2">
              <w:rPr>
                <w:rFonts w:hAnsi="Calibri"/>
                <w:kern w:val="24"/>
                <w:sz w:val="21"/>
                <w:szCs w:val="21"/>
              </w:rPr>
              <w:t>20</w:t>
            </w:r>
            <w:r w:rsidR="009B0DDF" w:rsidRPr="005263A9">
              <w:rPr>
                <w:rFonts w:hAnsi="Calibri"/>
                <w:kern w:val="24"/>
                <w:sz w:val="21"/>
                <w:szCs w:val="21"/>
              </w:rPr>
              <w:t>,550</w:t>
            </w:r>
          </w:p>
        </w:tc>
        <w:tc>
          <w:tcPr>
            <w:tcW w:w="4559" w:type="dxa"/>
          </w:tcPr>
          <w:p w14:paraId="4C4B3578" w14:textId="77777777" w:rsidR="005E2273" w:rsidRPr="005263A9" w:rsidRDefault="005E2273" w:rsidP="00760196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5263A9">
              <w:rPr>
                <w:rFonts w:hAnsi="Calibr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7C4F17EE" w14:textId="418CA36B" w:rsidR="005E2273" w:rsidRPr="005263A9" w:rsidRDefault="005E2273" w:rsidP="00760196">
            <w:pPr>
              <w:rPr>
                <w:rFonts w:hAnsi="Calibri"/>
                <w:kern w:val="24"/>
                <w:sz w:val="21"/>
                <w:szCs w:val="21"/>
              </w:rPr>
            </w:pPr>
            <w:r w:rsidRPr="005263A9">
              <w:rPr>
                <w:rFonts w:hAnsi="Calibri"/>
                <w:kern w:val="24"/>
                <w:sz w:val="21"/>
                <w:szCs w:val="21"/>
              </w:rPr>
              <w:t>September</w:t>
            </w:r>
            <w:r w:rsidR="00517A5F" w:rsidRPr="005263A9">
              <w:rPr>
                <w:rFonts w:hAnsi="Calibri"/>
                <w:kern w:val="24"/>
                <w:sz w:val="21"/>
                <w:szCs w:val="21"/>
              </w:rPr>
              <w:t xml:space="preserve"> </w:t>
            </w:r>
            <w:r w:rsidRPr="005263A9">
              <w:rPr>
                <w:rFonts w:hAnsi="Calibr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5E2273" w:rsidRPr="00025F6E" w14:paraId="3D69FAF2" w14:textId="77777777" w:rsidTr="00FB502B">
        <w:trPr>
          <w:trHeight w:val="3734"/>
        </w:trPr>
        <w:tc>
          <w:tcPr>
            <w:tcW w:w="9067" w:type="dxa"/>
            <w:gridSpan w:val="2"/>
          </w:tcPr>
          <w:p w14:paraId="58CE62FD" w14:textId="0D536910" w:rsidR="005E2273" w:rsidRPr="00F92951" w:rsidRDefault="00F92951" w:rsidP="00760196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F92951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Requirements:</w:t>
            </w:r>
          </w:p>
          <w:p w14:paraId="23C65F22" w14:textId="77777777" w:rsidR="00F92951" w:rsidRPr="00F92951" w:rsidRDefault="00F92951" w:rsidP="0076019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58"/>
              <w:rPr>
                <w:rFonts w:asciiTheme="minorHAnsi" w:hAnsiTheme="minorHAnsi" w:cstheme="minorHAnsi"/>
                <w:sz w:val="21"/>
                <w:szCs w:val="21"/>
              </w:rPr>
            </w:pPr>
            <w:r w:rsidRPr="00F92951">
              <w:rPr>
                <w:rFonts w:asciiTheme="minorHAnsi" w:hAnsiTheme="minorHAnsi" w:cstheme="minorHAnsi"/>
                <w:sz w:val="21"/>
                <w:szCs w:val="21"/>
              </w:rPr>
              <w:t>An initial degree in Psychology at minimum UK 2:1 (conferring Graduate Basis for Chartership – GBC).</w:t>
            </w:r>
            <w:r w:rsidRPr="00F9295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F929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For international students who have studied overseas with a psychology degree not accredited by BPS will need to take into consideration the time to apply for GBC before applying  – visit </w:t>
            </w:r>
            <w:hyperlink r:id="rId10" w:history="1">
              <w:r w:rsidRPr="00F92951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Graduate membership (</w:t>
              </w:r>
              <w:proofErr w:type="spellStart"/>
              <w:r w:rsidRPr="00F92951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GMBPsS</w:t>
              </w:r>
              <w:proofErr w:type="spellEnd"/>
              <w:r w:rsidRPr="00F92951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) | BPS</w:t>
              </w:r>
            </w:hyperlink>
            <w:r w:rsidRPr="00F929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(in the non-UK applicants tab on this website) to find out how to apply for a Graduate Membership.  This process includes applying with details of qualification and academic transcripts and a cost of £42 (Feb 2023) non-refundable application assessment fee – please check website for the most up-to-date cost. </w:t>
            </w:r>
            <w:r w:rsidRPr="00F9295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Current estimate (Feb 2023) approximately 8 weeks to process applications.</w:t>
            </w:r>
          </w:p>
          <w:p w14:paraId="0C3C5B58" w14:textId="77777777" w:rsidR="00F92951" w:rsidRPr="00F92951" w:rsidRDefault="00F92951" w:rsidP="0076019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58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92951">
              <w:rPr>
                <w:rFonts w:asciiTheme="minorHAnsi" w:hAnsiTheme="minorHAnsi" w:cstheme="minorHAnsi"/>
                <w:sz w:val="21"/>
                <w:szCs w:val="21"/>
              </w:rPr>
              <w:t>A well-written personal statement which answers the following questions:</w:t>
            </w:r>
            <w:r w:rsidRPr="00F9295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729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1. Why you want to study for an MSc in Forensic Psychology (max 200 words)</w:t>
            </w:r>
            <w:r w:rsidRPr="008729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  <w:t>2. Your understanding of what a Forensic Psychologist does in their role (max 200 words)</w:t>
            </w:r>
            <w:r w:rsidRPr="008729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  <w:t>3. Describe any employment or voluntary experience and how it might be relevant to this programme of study (max 200 words)</w:t>
            </w:r>
            <w:r w:rsidRPr="008729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  <w:t>4.</w:t>
            </w:r>
            <w:r w:rsidRPr="00872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729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Finally, tell us a little about yourself, your interests and career aspirations (max 350 words</w:t>
            </w:r>
            <w:r w:rsidRPr="008729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00B86792" w14:textId="596A00C8" w:rsidR="00450E00" w:rsidRPr="00F92951" w:rsidRDefault="00F92951" w:rsidP="0076019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58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92951">
              <w:rPr>
                <w:rFonts w:asciiTheme="minorHAnsi" w:hAnsiTheme="minorHAnsi" w:cstheme="minorHAnsi"/>
                <w:sz w:val="21"/>
                <w:szCs w:val="21"/>
              </w:rPr>
              <w:t>A current academic reference</w:t>
            </w:r>
          </w:p>
        </w:tc>
      </w:tr>
      <w:tr w:rsidR="00F92951" w:rsidRPr="00025F6E" w14:paraId="4EFB00A6" w14:textId="77777777" w:rsidTr="00FB502B">
        <w:tc>
          <w:tcPr>
            <w:tcW w:w="9067" w:type="dxa"/>
            <w:gridSpan w:val="2"/>
          </w:tcPr>
          <w:p w14:paraId="4AC3A76E" w14:textId="1BD73C44" w:rsidR="00F92951" w:rsidRPr="00F92951" w:rsidRDefault="002A2BD4" w:rsidP="00760196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5070F7">
              <w:rPr>
                <w:rFonts w:hAnsi="Calibri"/>
                <w:b/>
                <w:bCs/>
                <w:kern w:val="24"/>
                <w:sz w:val="21"/>
                <w:szCs w:val="21"/>
              </w:rPr>
              <w:t>English Language Requirement</w:t>
            </w:r>
            <w:r w:rsidRPr="005070F7">
              <w:rPr>
                <w:rFonts w:hAnsi="Calibri"/>
                <w:kern w:val="24"/>
                <w:sz w:val="21"/>
                <w:szCs w:val="21"/>
              </w:rPr>
              <w:t xml:space="preserve">: IELTS </w:t>
            </w:r>
            <w:r>
              <w:rPr>
                <w:rFonts w:hAnsi="Calibri"/>
                <w:kern w:val="24"/>
                <w:sz w:val="21"/>
                <w:szCs w:val="21"/>
              </w:rPr>
              <w:t>7.0 with no less than 6.5 in</w:t>
            </w:r>
            <w:r w:rsidRPr="005070F7">
              <w:rPr>
                <w:rFonts w:hAnsi="Calibri"/>
                <w:kern w:val="24"/>
                <w:sz w:val="21"/>
                <w:szCs w:val="21"/>
              </w:rPr>
              <w:t xml:space="preserve"> all components (or Swansea University Recognised equivalents) </w:t>
            </w:r>
            <w:hyperlink r:id="rId11" w:history="1">
              <w:r w:rsidRPr="005070F7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28CE8C85" w14:textId="1EFDD04F" w:rsidR="00450E00" w:rsidRPr="00504A7C" w:rsidRDefault="00504A7C" w:rsidP="00760196">
      <w:pPr>
        <w:pStyle w:val="Title"/>
      </w:pPr>
      <w:r w:rsidRPr="00504A7C">
        <w:t>MSc Forensic Psychology</w:t>
      </w:r>
    </w:p>
    <w:p w14:paraId="6827F693" w14:textId="77777777" w:rsidR="000B5567" w:rsidRPr="000B5567" w:rsidRDefault="000069C2" w:rsidP="00760196">
      <w:pPr>
        <w:spacing w:after="0"/>
        <w:rPr>
          <w:b/>
          <w:bCs/>
          <w:sz w:val="19"/>
          <w:szCs w:val="19"/>
        </w:rPr>
      </w:pPr>
      <w:hyperlink r:id="rId12" w:history="1">
        <w:r w:rsidR="000B5567" w:rsidRPr="000B5567">
          <w:rPr>
            <w:rStyle w:val="Hyperlink"/>
            <w:sz w:val="19"/>
            <w:szCs w:val="19"/>
          </w:rPr>
          <w:t>Forensic Psychology, MSc - Swansea University</w:t>
        </w:r>
      </w:hyperlink>
    </w:p>
    <w:p w14:paraId="602B5ABD" w14:textId="77777777" w:rsidR="000B5567" w:rsidRPr="006D0085" w:rsidRDefault="000B5567" w:rsidP="00760196">
      <w:pPr>
        <w:spacing w:after="0"/>
        <w:rPr>
          <w:b/>
          <w:bCs/>
          <w:i/>
          <w:iCs/>
          <w:sz w:val="19"/>
          <w:szCs w:val="19"/>
        </w:rPr>
      </w:pPr>
      <w:r w:rsidRPr="006D0085">
        <w:rPr>
          <w:b/>
          <w:bCs/>
          <w:i/>
          <w:iCs/>
          <w:sz w:val="19"/>
          <w:szCs w:val="19"/>
        </w:rPr>
        <w:t>20 places available for September 2023</w:t>
      </w:r>
    </w:p>
    <w:p w14:paraId="5A525D29" w14:textId="77777777" w:rsidR="006F4746" w:rsidRDefault="006F4746" w:rsidP="00760196">
      <w:pPr>
        <w:spacing w:after="0"/>
        <w:rPr>
          <w:sz w:val="21"/>
          <w:szCs w:val="21"/>
        </w:rPr>
      </w:pPr>
    </w:p>
    <w:p w14:paraId="7E55AE0C" w14:textId="583091B3" w:rsidR="00FB502B" w:rsidRPr="001E5C8E" w:rsidRDefault="00FB502B" w:rsidP="00760196">
      <w:pPr>
        <w:spacing w:after="0"/>
        <w:rPr>
          <w:sz w:val="21"/>
          <w:szCs w:val="21"/>
        </w:rPr>
      </w:pPr>
      <w:r w:rsidRPr="001E5C8E">
        <w:rPr>
          <w:sz w:val="21"/>
          <w:szCs w:val="21"/>
        </w:rPr>
        <w:t xml:space="preserve">Applicants meeting the above criteria will be invited to a short online interview and scored based on </w:t>
      </w:r>
      <w:proofErr w:type="gramStart"/>
      <w:r>
        <w:rPr>
          <w:sz w:val="21"/>
          <w:szCs w:val="21"/>
        </w:rPr>
        <w:t>a number of</w:t>
      </w:r>
      <w:proofErr w:type="gramEnd"/>
      <w:r w:rsidRPr="001E5C8E">
        <w:rPr>
          <w:sz w:val="21"/>
          <w:szCs w:val="21"/>
        </w:rPr>
        <w:t xml:space="preserve"> questions.  If not initially made an offer following the interview, applicants can be held on a waitlist or offered alternative eligible courses.</w:t>
      </w:r>
    </w:p>
    <w:p w14:paraId="525BC6E8" w14:textId="77777777" w:rsidR="00FB502B" w:rsidRDefault="00FB502B" w:rsidP="00760196">
      <w:pPr>
        <w:spacing w:after="0"/>
        <w:rPr>
          <w:rFonts w:cstheme="minorHAnsi"/>
          <w:b/>
          <w:bCs/>
          <w:kern w:val="24"/>
          <w:sz w:val="21"/>
          <w:szCs w:val="21"/>
        </w:rPr>
      </w:pPr>
    </w:p>
    <w:p w14:paraId="266E12DF" w14:textId="44B8579D" w:rsidR="009B0DDF" w:rsidRPr="006F4746" w:rsidRDefault="00FB502B" w:rsidP="00760196">
      <w:pPr>
        <w:spacing w:after="0"/>
        <w:rPr>
          <w:rFonts w:cstheme="minorHAnsi"/>
          <w:sz w:val="21"/>
          <w:szCs w:val="21"/>
        </w:rPr>
      </w:pPr>
      <w:r w:rsidRPr="006F4746">
        <w:rPr>
          <w:rFonts w:cstheme="minorHAnsi"/>
          <w:b/>
          <w:bCs/>
          <w:kern w:val="24"/>
          <w:sz w:val="21"/>
          <w:szCs w:val="21"/>
        </w:rPr>
        <w:t>What is the Programme about?</w:t>
      </w:r>
    </w:p>
    <w:p w14:paraId="5152582B" w14:textId="5B028B9B" w:rsidR="001F2E50" w:rsidRPr="006F4746" w:rsidRDefault="00101126" w:rsidP="00760196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6F4746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This master’s degree has been designed to provide a thorough grounding in Forensic Psychology </w:t>
      </w:r>
    </w:p>
    <w:p w14:paraId="0BB297DF" w14:textId="6876E7B0" w:rsidR="00101126" w:rsidRPr="006F4746" w:rsidRDefault="00101126" w:rsidP="00760196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6F4746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In this MSc you will develop and apply psychology knowledge to criminal investigation processes, working with those who offend and working with other professionals in the criminal justice system.</w:t>
      </w:r>
    </w:p>
    <w:p w14:paraId="34A343F3" w14:textId="1E1D032E" w:rsidR="00101126" w:rsidRPr="006F4746" w:rsidRDefault="00101126" w:rsidP="00760196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6F4746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You will also undertake a </w:t>
      </w:r>
      <w:r w:rsidR="006F4746" w:rsidRPr="006F4746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large-scale</w:t>
      </w:r>
      <w:r w:rsidRPr="006F4746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research project in which you will examine an area of forensic psychology theory and practice. </w:t>
      </w:r>
    </w:p>
    <w:p w14:paraId="362A7125" w14:textId="63F5B6CC" w:rsidR="006F4746" w:rsidRPr="006F4746" w:rsidRDefault="006F4746" w:rsidP="00760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6F4746">
        <w:rPr>
          <w:rFonts w:asciiTheme="minorHAnsi" w:hAnsiTheme="minorHAnsi" w:cstheme="minorHAnsi"/>
          <w:sz w:val="21"/>
          <w:szCs w:val="21"/>
        </w:rPr>
        <w:t xml:space="preserve">This programme is suitable for students who are interested in the psychology of crime and criminal investigation, with insights into professional practice as a forensic psychologist.  </w:t>
      </w:r>
    </w:p>
    <w:p w14:paraId="321EEBCE" w14:textId="25EF517C" w:rsidR="003A09BE" w:rsidRPr="00760196" w:rsidRDefault="006F4746" w:rsidP="00760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</w:t>
      </w:r>
      <w:r w:rsidRPr="006F4746">
        <w:rPr>
          <w:rFonts w:asciiTheme="minorHAnsi" w:hAnsiTheme="minorHAnsi" w:cstheme="minorHAnsi"/>
          <w:sz w:val="21"/>
          <w:szCs w:val="21"/>
        </w:rPr>
        <w:t xml:space="preserve">his programme is designed to provide a thorough grounding in Forensic Psychology as required for </w:t>
      </w:r>
      <w:r w:rsidRPr="006F4746">
        <w:rPr>
          <w:rFonts w:asciiTheme="minorHAnsi" w:hAnsiTheme="minorHAnsi" w:cstheme="minorHAnsi"/>
          <w:b/>
          <w:bCs/>
          <w:sz w:val="21"/>
          <w:szCs w:val="21"/>
        </w:rPr>
        <w:t>Stage 1 training as a forensic psychologist accredited by the British Psychology Society (BPS).</w:t>
      </w:r>
    </w:p>
    <w:p w14:paraId="6322F7BB" w14:textId="77777777" w:rsidR="00760196" w:rsidRDefault="00760196" w:rsidP="00760196">
      <w:pPr>
        <w:spacing w:after="0"/>
        <w:rPr>
          <w:rFonts w:cstheme="minorHAnsi"/>
          <w:sz w:val="21"/>
          <w:szCs w:val="21"/>
        </w:rPr>
      </w:pPr>
    </w:p>
    <w:p w14:paraId="55AC7C14" w14:textId="75FF6DC4" w:rsidR="00760196" w:rsidRPr="00760196" w:rsidRDefault="00760196" w:rsidP="00760196">
      <w:pPr>
        <w:spacing w:after="0"/>
        <w:rPr>
          <w:rFonts w:cstheme="minorHAnsi"/>
          <w:b/>
          <w:bCs/>
          <w:sz w:val="21"/>
          <w:szCs w:val="21"/>
        </w:rPr>
      </w:pPr>
      <w:r w:rsidRPr="00760196">
        <w:rPr>
          <w:rFonts w:cstheme="minorHAnsi"/>
          <w:b/>
          <w:bCs/>
          <w:sz w:val="21"/>
          <w:szCs w:val="21"/>
        </w:rPr>
        <w:t>Important Things to Note</w:t>
      </w:r>
    </w:p>
    <w:p w14:paraId="15854B60" w14:textId="77777777" w:rsidR="00760196" w:rsidRDefault="00760196" w:rsidP="00760196">
      <w:pPr>
        <w:pStyle w:val="Normal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78% of our overall research quality was rated as world-leading or internationally excellent (4*/3*) Research Excellence Framework 2021</w:t>
      </w:r>
    </w:p>
    <w:p w14:paraId="0C7E9922" w14:textId="08AFFAE7" w:rsidR="00760196" w:rsidRPr="00760196" w:rsidRDefault="00760196" w:rsidP="00760196">
      <w:pPr>
        <w:pStyle w:val="Normal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100% of our impact rated as internationally excellent. (Research Excellence Framework 2021)</w:t>
      </w:r>
    </w:p>
    <w:p w14:paraId="02A9423A" w14:textId="77777777" w:rsidR="00101126" w:rsidRPr="00FB502B" w:rsidRDefault="00101126" w:rsidP="00760196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</w:p>
    <w:p w14:paraId="4EDE2AA8" w14:textId="1B545E4E" w:rsidR="002349CD" w:rsidRDefault="006F4746" w:rsidP="00760196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>
        <w:rPr>
          <w:rFonts w:cstheme="minorHAnsi"/>
          <w:b/>
          <w:bCs/>
          <w:kern w:val="24"/>
          <w:sz w:val="21"/>
          <w:szCs w:val="21"/>
        </w:rPr>
        <w:t xml:space="preserve">Modules </w:t>
      </w:r>
      <w:r w:rsidR="005E2273" w:rsidRPr="00504A7C">
        <w:rPr>
          <w:rFonts w:cstheme="minorHAnsi"/>
          <w:b/>
          <w:bCs/>
          <w:kern w:val="24"/>
          <w:sz w:val="21"/>
          <w:szCs w:val="21"/>
        </w:rPr>
        <w:t xml:space="preserve">Within </w:t>
      </w:r>
      <w:proofErr w:type="gramStart"/>
      <w:r w:rsidR="005E2273" w:rsidRPr="00504A7C">
        <w:rPr>
          <w:rFonts w:cstheme="minorHAnsi"/>
          <w:b/>
          <w:bCs/>
          <w:kern w:val="24"/>
          <w:sz w:val="21"/>
          <w:szCs w:val="21"/>
        </w:rPr>
        <w:t>The</w:t>
      </w:r>
      <w:proofErr w:type="gramEnd"/>
      <w:r w:rsidR="005E2273" w:rsidRPr="00504A7C">
        <w:rPr>
          <w:rFonts w:cstheme="minorHAnsi"/>
          <w:b/>
          <w:bCs/>
          <w:kern w:val="24"/>
          <w:sz w:val="21"/>
          <w:szCs w:val="21"/>
        </w:rPr>
        <w:t xml:space="preserve"> Programme</w:t>
      </w:r>
    </w:p>
    <w:p w14:paraId="6392355E" w14:textId="77777777" w:rsidR="006F4746" w:rsidRPr="00504A7C" w:rsidRDefault="006F4746" w:rsidP="00760196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4A7C" w:rsidRPr="00504A7C" w14:paraId="16AB6EE5" w14:textId="77777777" w:rsidTr="00720D89">
        <w:tc>
          <w:tcPr>
            <w:tcW w:w="4508" w:type="dxa"/>
          </w:tcPr>
          <w:p w14:paraId="5964AE5E" w14:textId="52D5CA9D" w:rsidR="00DD30F4" w:rsidRPr="00504A7C" w:rsidRDefault="000069C2" w:rsidP="00760196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3" w:tgtFrame="_blank" w:history="1">
              <w:r w:rsidR="00101126" w:rsidRPr="00504A7C">
                <w:rPr>
                  <w:rFonts w:cstheme="minorHAnsi"/>
                  <w:kern w:val="24"/>
                  <w:sz w:val="21"/>
                  <w:szCs w:val="21"/>
                </w:rPr>
                <w:t>Professional issues in forensic psychology practice</w:t>
              </w:r>
            </w:hyperlink>
          </w:p>
        </w:tc>
        <w:tc>
          <w:tcPr>
            <w:tcW w:w="4508" w:type="dxa"/>
          </w:tcPr>
          <w:p w14:paraId="35A1AE60" w14:textId="4F7EDFE3" w:rsidR="00DD30F4" w:rsidRPr="00504A7C" w:rsidRDefault="000069C2" w:rsidP="00760196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4" w:tgtFrame="_blank" w:history="1">
              <w:r w:rsidR="00101126" w:rsidRPr="00504A7C">
                <w:rPr>
                  <w:rFonts w:cstheme="minorHAnsi"/>
                  <w:kern w:val="24"/>
                  <w:sz w:val="21"/>
                  <w:szCs w:val="21"/>
                </w:rPr>
                <w:t>Legal and Criminological Psychology</w:t>
              </w:r>
            </w:hyperlink>
          </w:p>
        </w:tc>
      </w:tr>
      <w:tr w:rsidR="00504A7C" w:rsidRPr="00504A7C" w14:paraId="31C676D6" w14:textId="77777777" w:rsidTr="005E2273">
        <w:tc>
          <w:tcPr>
            <w:tcW w:w="4508" w:type="dxa"/>
          </w:tcPr>
          <w:p w14:paraId="49CA0EBF" w14:textId="4A3FF619" w:rsidR="005E2273" w:rsidRPr="00504A7C" w:rsidRDefault="000069C2" w:rsidP="00760196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5" w:tgtFrame="_blank" w:history="1">
              <w:r w:rsidR="00101126" w:rsidRPr="00504A7C">
                <w:rPr>
                  <w:rFonts w:cstheme="minorHAnsi"/>
                  <w:kern w:val="24"/>
                  <w:sz w:val="21"/>
                  <w:szCs w:val="21"/>
                </w:rPr>
                <w:t>Understanding and working with those who offend</w:t>
              </w:r>
            </w:hyperlink>
          </w:p>
        </w:tc>
        <w:tc>
          <w:tcPr>
            <w:tcW w:w="4508" w:type="dxa"/>
          </w:tcPr>
          <w:p w14:paraId="67A4A122" w14:textId="1DCB5D18" w:rsidR="005E2273" w:rsidRPr="00504A7C" w:rsidRDefault="000069C2" w:rsidP="00760196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6" w:tgtFrame="_blank" w:history="1">
              <w:r w:rsidR="00101126" w:rsidRPr="00504A7C">
                <w:rPr>
                  <w:rFonts w:cstheme="minorHAnsi"/>
                  <w:kern w:val="24"/>
                  <w:sz w:val="21"/>
                  <w:szCs w:val="21"/>
                </w:rPr>
                <w:t>Research and Statistical Methods</w:t>
              </w:r>
            </w:hyperlink>
          </w:p>
        </w:tc>
      </w:tr>
      <w:tr w:rsidR="00101126" w:rsidRPr="00504A7C" w14:paraId="17B6A43E" w14:textId="77777777" w:rsidTr="00720D89">
        <w:tc>
          <w:tcPr>
            <w:tcW w:w="9016" w:type="dxa"/>
            <w:gridSpan w:val="2"/>
          </w:tcPr>
          <w:p w14:paraId="45563832" w14:textId="29D7D2AE" w:rsidR="00101126" w:rsidRPr="00504A7C" w:rsidRDefault="000069C2" w:rsidP="00760196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hyperlink r:id="rId17" w:tgtFrame="_blank" w:history="1">
              <w:r w:rsidR="00101126" w:rsidRPr="00504A7C">
                <w:rPr>
                  <w:rFonts w:cstheme="minorHAnsi"/>
                  <w:kern w:val="24"/>
                  <w:sz w:val="21"/>
                  <w:szCs w:val="21"/>
                </w:rPr>
                <w:t>Generic Research Skills (Forensic Psychology)</w:t>
              </w:r>
            </w:hyperlink>
          </w:p>
        </w:tc>
      </w:tr>
    </w:tbl>
    <w:p w14:paraId="2BAF7ED2" w14:textId="77777777" w:rsidR="006C5955" w:rsidRPr="00504A7C" w:rsidRDefault="006C5955" w:rsidP="00760196">
      <w:pPr>
        <w:spacing w:after="0"/>
        <w:rPr>
          <w:rFonts w:cstheme="minorHAnsi"/>
          <w:b/>
          <w:bCs/>
          <w:kern w:val="24"/>
          <w:sz w:val="21"/>
          <w:szCs w:val="21"/>
        </w:rPr>
      </w:pPr>
    </w:p>
    <w:p w14:paraId="3D5217FD" w14:textId="16F19266" w:rsidR="00EA4F91" w:rsidRPr="00504A7C" w:rsidRDefault="00EA4F91" w:rsidP="00760196">
      <w:pPr>
        <w:spacing w:after="0"/>
        <w:rPr>
          <w:rFonts w:cstheme="minorHAnsi"/>
          <w:b/>
          <w:bCs/>
          <w:kern w:val="24"/>
          <w:sz w:val="21"/>
          <w:szCs w:val="21"/>
        </w:rPr>
      </w:pPr>
      <w:r w:rsidRPr="00504A7C">
        <w:rPr>
          <w:rFonts w:cstheme="minorHAnsi"/>
          <w:b/>
          <w:bCs/>
          <w:kern w:val="24"/>
          <w:sz w:val="21"/>
          <w:szCs w:val="21"/>
        </w:rPr>
        <w:t>Employability - examples of roles after graduation</w:t>
      </w:r>
    </w:p>
    <w:p w14:paraId="635105FD" w14:textId="40EBD34F" w:rsidR="006C5955" w:rsidRPr="00760196" w:rsidRDefault="00101126" w:rsidP="00760196">
      <w:pPr>
        <w:pStyle w:val="ListParagraph"/>
        <w:numPr>
          <w:ilvl w:val="0"/>
          <w:numId w:val="4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504A7C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Forensic Psychologist </w:t>
      </w:r>
    </w:p>
    <w:sectPr w:rsidR="006C5955" w:rsidRPr="00760196" w:rsidSect="003F7982">
      <w:headerReference w:type="default" r:id="rId18"/>
      <w:footerReference w:type="default" r:id="rId19"/>
      <w:pgSz w:w="11906" w:h="16838"/>
      <w:pgMar w:top="1440" w:right="1440" w:bottom="1440" w:left="14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373F" w14:textId="77777777" w:rsidR="002E62A3" w:rsidRDefault="002E62A3" w:rsidP="002349CD">
      <w:pPr>
        <w:spacing w:after="0" w:line="240" w:lineRule="auto"/>
      </w:pPr>
      <w:r>
        <w:separator/>
      </w:r>
    </w:p>
  </w:endnote>
  <w:endnote w:type="continuationSeparator" w:id="0">
    <w:p w14:paraId="3408E57A" w14:textId="77777777" w:rsidR="002E62A3" w:rsidRDefault="002E62A3" w:rsidP="002349CD">
      <w:pPr>
        <w:spacing w:after="0" w:line="240" w:lineRule="auto"/>
      </w:pPr>
      <w:r>
        <w:continuationSeparator/>
      </w:r>
    </w:p>
  </w:endnote>
  <w:endnote w:type="continuationNotice" w:id="1">
    <w:p w14:paraId="0FCD6AF5" w14:textId="77777777" w:rsidR="00720D89" w:rsidRDefault="00720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14D" w14:textId="7CE5B7BC" w:rsidR="00504A7C" w:rsidRPr="00135006" w:rsidRDefault="00135006" w:rsidP="00135006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4F1F7E">
      <w:rPr>
        <w:sz w:val="16"/>
        <w:szCs w:val="16"/>
      </w:rPr>
      <w:t xml:space="preserve">School of Psychology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D82B" w14:textId="77777777" w:rsidR="002E62A3" w:rsidRDefault="002E62A3" w:rsidP="002349CD">
      <w:pPr>
        <w:spacing w:after="0" w:line="240" w:lineRule="auto"/>
      </w:pPr>
      <w:r>
        <w:separator/>
      </w:r>
    </w:p>
  </w:footnote>
  <w:footnote w:type="continuationSeparator" w:id="0">
    <w:p w14:paraId="15A3F0F2" w14:textId="77777777" w:rsidR="002E62A3" w:rsidRDefault="002E62A3" w:rsidP="002349CD">
      <w:pPr>
        <w:spacing w:after="0" w:line="240" w:lineRule="auto"/>
      </w:pPr>
      <w:r>
        <w:continuationSeparator/>
      </w:r>
    </w:p>
  </w:footnote>
  <w:footnote w:type="continuationNotice" w:id="1">
    <w:p w14:paraId="07F0D002" w14:textId="77777777" w:rsidR="00720D89" w:rsidRDefault="00720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6008" w14:textId="5762A8D5" w:rsidR="00504A7C" w:rsidRDefault="003955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3DD53" wp14:editId="37C244BD">
          <wp:simplePos x="0" y="0"/>
          <wp:positionH relativeFrom="margin">
            <wp:align>right</wp:align>
          </wp:positionH>
          <wp:positionV relativeFrom="paragraph">
            <wp:posOffset>-285307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EEE"/>
    <w:multiLevelType w:val="hybridMultilevel"/>
    <w:tmpl w:val="39F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0616"/>
    <w:multiLevelType w:val="multilevel"/>
    <w:tmpl w:val="79B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823552">
    <w:abstractNumId w:val="4"/>
  </w:num>
  <w:num w:numId="2" w16cid:durableId="876165554">
    <w:abstractNumId w:val="1"/>
  </w:num>
  <w:num w:numId="3" w16cid:durableId="124665640">
    <w:abstractNumId w:val="5"/>
  </w:num>
  <w:num w:numId="4" w16cid:durableId="780149861">
    <w:abstractNumId w:val="2"/>
  </w:num>
  <w:num w:numId="5" w16cid:durableId="1876698945">
    <w:abstractNumId w:val="3"/>
  </w:num>
  <w:num w:numId="6" w16cid:durableId="1401245904">
    <w:abstractNumId w:val="0"/>
  </w:num>
  <w:num w:numId="7" w16cid:durableId="28963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069C2"/>
    <w:rsid w:val="00094028"/>
    <w:rsid w:val="000B5567"/>
    <w:rsid w:val="00101126"/>
    <w:rsid w:val="00135006"/>
    <w:rsid w:val="00191A6E"/>
    <w:rsid w:val="001F2E50"/>
    <w:rsid w:val="002349CD"/>
    <w:rsid w:val="002A2BD4"/>
    <w:rsid w:val="002B5710"/>
    <w:rsid w:val="002E62A3"/>
    <w:rsid w:val="003475C6"/>
    <w:rsid w:val="0039558F"/>
    <w:rsid w:val="003A09BE"/>
    <w:rsid w:val="003F7982"/>
    <w:rsid w:val="00450E00"/>
    <w:rsid w:val="004F1F7E"/>
    <w:rsid w:val="00504A7C"/>
    <w:rsid w:val="00512BF1"/>
    <w:rsid w:val="00517A5F"/>
    <w:rsid w:val="005263A9"/>
    <w:rsid w:val="00540942"/>
    <w:rsid w:val="00566137"/>
    <w:rsid w:val="00566ADB"/>
    <w:rsid w:val="00580D33"/>
    <w:rsid w:val="005E2273"/>
    <w:rsid w:val="006C5955"/>
    <w:rsid w:val="006F4746"/>
    <w:rsid w:val="00720D89"/>
    <w:rsid w:val="00747CF9"/>
    <w:rsid w:val="00760196"/>
    <w:rsid w:val="00872922"/>
    <w:rsid w:val="008849FD"/>
    <w:rsid w:val="008B2699"/>
    <w:rsid w:val="00936FCF"/>
    <w:rsid w:val="009A57DB"/>
    <w:rsid w:val="009B0DDF"/>
    <w:rsid w:val="009E596B"/>
    <w:rsid w:val="00A72D5F"/>
    <w:rsid w:val="00B21B4B"/>
    <w:rsid w:val="00B92A3E"/>
    <w:rsid w:val="00BB4294"/>
    <w:rsid w:val="00BC6D2C"/>
    <w:rsid w:val="00C04D53"/>
    <w:rsid w:val="00DA3A5A"/>
    <w:rsid w:val="00DC021E"/>
    <w:rsid w:val="00DD30F4"/>
    <w:rsid w:val="00E655A7"/>
    <w:rsid w:val="00EA4F91"/>
    <w:rsid w:val="00EC0360"/>
    <w:rsid w:val="00EF6434"/>
    <w:rsid w:val="00F86892"/>
    <w:rsid w:val="00F92951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5D5"/>
  <w15:chartTrackingRefBased/>
  <w15:docId w15:val="{A4510F2D-2F2B-489C-81B7-C1FF86D1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04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A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swan.ac.uk/catalogue/default.asp?type=moddetail&amp;dept=any&amp;mod=PS-M87&amp;ayr=23%2F24&amp;psl=TB1&amp;detailOnly=fal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postgraduate/taught/psychology/forensic-psychology-msc/" TargetMode="External"/><Relationship Id="rId17" Type="http://schemas.openxmlformats.org/officeDocument/2006/relationships/hyperlink" Target="https://intranet.swan.ac.uk/catalogue/default.asp?type=moddetail&amp;dept=any&amp;mod=PS-M91&amp;ayr=23%2F24&amp;psl=YR&amp;detailOnly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S-M90&amp;ayr=23%2F24&amp;psl=YR&amp;detailOnly=fal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admissions/english-language-requirem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S-M89&amp;ayr=23%2F24&amp;psl=YR&amp;detailOnly=false" TargetMode="External"/><Relationship Id="rId10" Type="http://schemas.openxmlformats.org/officeDocument/2006/relationships/hyperlink" Target="https://www.bps.org.uk/graduate-membership-gmbps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S-M88&amp;ayr=23%2F24&amp;psl=YR&amp;detailOnly=fal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8BB96-EEA7-4544-B98C-BA5B12721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FA9D0-2DB8-4ED4-8F27-9D6E12561EBF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b3bd49b-6469-4f83-9a7a-f8009a209f85"/>
    <ds:schemaRef ds:uri="ce8b8a0e-d8b5-4681-859f-a8e96dad8061"/>
  </ds:schemaRefs>
</ds:datastoreItem>
</file>

<file path=customXml/itemProps3.xml><?xml version="1.0" encoding="utf-8"?>
<ds:datastoreItem xmlns:ds="http://schemas.openxmlformats.org/officeDocument/2006/customXml" ds:itemID="{085EC4CC-EB3F-4B62-8962-45CEC178F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3</cp:revision>
  <dcterms:created xsi:type="dcterms:W3CDTF">2023-10-05T12:24:00Z</dcterms:created>
  <dcterms:modified xsi:type="dcterms:W3CDTF">2023-10-05T12:31:00Z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