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AD2DC" w14:textId="77777777" w:rsidR="00ED4F26" w:rsidRPr="00343B5C" w:rsidRDefault="00ED4F26" w:rsidP="00ED4F26">
      <w:pPr>
        <w:ind w:left="0" w:firstLine="0"/>
        <w:rPr>
          <w:b/>
        </w:rPr>
      </w:pPr>
    </w:p>
    <w:tbl>
      <w:tblPr>
        <w:tblStyle w:val="TableGrid"/>
        <w:tblW w:w="15168" w:type="dxa"/>
        <w:tblInd w:w="-43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120"/>
        <w:gridCol w:w="997"/>
        <w:gridCol w:w="3002"/>
        <w:gridCol w:w="8049"/>
      </w:tblGrid>
      <w:tr w:rsidR="00343B5C" w:rsidRPr="00343B5C" w14:paraId="32129C3F" w14:textId="77777777" w:rsidTr="00B80B2B">
        <w:trPr>
          <w:trHeight w:val="19"/>
        </w:trPr>
        <w:tc>
          <w:tcPr>
            <w:tcW w:w="15168" w:type="dxa"/>
            <w:gridSpan w:val="4"/>
            <w:tcBorders>
              <w:top w:val="single" w:sz="4" w:space="0" w:color="auto"/>
              <w:left w:val="single" w:sz="4" w:space="0" w:color="auto"/>
              <w:bottom w:val="single" w:sz="4" w:space="0" w:color="auto"/>
              <w:right w:val="single" w:sz="4" w:space="0" w:color="auto"/>
            </w:tcBorders>
            <w:shd w:val="clear" w:color="auto" w:fill="C00000"/>
          </w:tcPr>
          <w:p w14:paraId="20C7F51A" w14:textId="77777777" w:rsidR="00ED4F26" w:rsidRPr="00343B5C" w:rsidRDefault="00ED4F26" w:rsidP="00B80B2B">
            <w:pPr>
              <w:pStyle w:val="Heading1"/>
              <w:spacing w:before="0"/>
              <w:jc w:val="center"/>
              <w:rPr>
                <w:rFonts w:cs="Arial"/>
                <w:b/>
                <w:color w:val="auto"/>
                <w:sz w:val="28"/>
                <w:szCs w:val="28"/>
              </w:rPr>
            </w:pPr>
            <w:r w:rsidRPr="00343B5C">
              <w:rPr>
                <w:rFonts w:ascii="Arial" w:hAnsi="Arial" w:cs="Arial"/>
                <w:b/>
                <w:color w:val="auto"/>
                <w:sz w:val="28"/>
                <w:szCs w:val="28"/>
              </w:rPr>
              <w:t>Fee and Access Plan</w:t>
            </w:r>
          </w:p>
        </w:tc>
      </w:tr>
      <w:tr w:rsidR="00343B5C" w:rsidRPr="00343B5C" w14:paraId="2C8C537F" w14:textId="77777777" w:rsidTr="00215C7B">
        <w:trPr>
          <w:trHeight w:val="297"/>
        </w:trPr>
        <w:tc>
          <w:tcPr>
            <w:tcW w:w="7119" w:type="dxa"/>
            <w:gridSpan w:val="3"/>
            <w:tcBorders>
              <w:top w:val="single" w:sz="4" w:space="0" w:color="auto"/>
              <w:left w:val="single" w:sz="4" w:space="0" w:color="auto"/>
              <w:bottom w:val="single" w:sz="4" w:space="0" w:color="auto"/>
              <w:right w:val="single" w:sz="4" w:space="0" w:color="auto"/>
            </w:tcBorders>
            <w:vAlign w:val="center"/>
          </w:tcPr>
          <w:p w14:paraId="0F00E067" w14:textId="77777777" w:rsidR="00ED4F26" w:rsidRPr="00343B5C" w:rsidRDefault="00ED4F26" w:rsidP="00215C7B">
            <w:pPr>
              <w:spacing w:after="120"/>
              <w:ind w:left="33" w:firstLine="0"/>
              <w:jc w:val="center"/>
            </w:pPr>
            <w:r w:rsidRPr="00343B5C">
              <w:t>Name of institution</w:t>
            </w:r>
          </w:p>
        </w:tc>
        <w:tc>
          <w:tcPr>
            <w:tcW w:w="8049" w:type="dxa"/>
            <w:tcBorders>
              <w:top w:val="single" w:sz="4" w:space="0" w:color="auto"/>
              <w:left w:val="single" w:sz="4" w:space="0" w:color="auto"/>
              <w:bottom w:val="single" w:sz="4" w:space="0" w:color="auto"/>
              <w:right w:val="single" w:sz="4" w:space="0" w:color="auto"/>
            </w:tcBorders>
          </w:tcPr>
          <w:p w14:paraId="2FAD75C8" w14:textId="75FB5FDA" w:rsidR="00ED4F26" w:rsidRPr="00343B5C" w:rsidRDefault="007C7243" w:rsidP="00215C7B">
            <w:pPr>
              <w:spacing w:after="120"/>
              <w:ind w:left="33" w:firstLine="0"/>
            </w:pPr>
            <w:r>
              <w:rPr>
                <w:b/>
                <w:noProof/>
                <w:sz w:val="40"/>
                <w:szCs w:val="40"/>
              </w:rPr>
              <w:drawing>
                <wp:inline distT="0" distB="0" distL="0" distR="0" wp14:anchorId="47991D17" wp14:editId="57FDCE9A">
                  <wp:extent cx="2870200" cy="1593215"/>
                  <wp:effectExtent l="0" t="0" r="6350" b="6985"/>
                  <wp:docPr id="2" name="Picture 2" descr="C:\Users\r.j.bowen\AppData\Local\Microsoft\Windows\INetCache\Content.MSO\932362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j.bowen\AppData\Local\Microsoft\Windows\INetCache\Content.MSO\9323626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0200" cy="1593215"/>
                          </a:xfrm>
                          <a:prstGeom prst="rect">
                            <a:avLst/>
                          </a:prstGeom>
                          <a:noFill/>
                          <a:ln>
                            <a:noFill/>
                          </a:ln>
                        </pic:spPr>
                      </pic:pic>
                    </a:graphicData>
                  </a:graphic>
                </wp:inline>
              </w:drawing>
            </w:r>
          </w:p>
        </w:tc>
      </w:tr>
      <w:tr w:rsidR="00343B5C" w:rsidRPr="00343B5C" w14:paraId="0BDC9263" w14:textId="77777777" w:rsidTr="00215C7B">
        <w:trPr>
          <w:trHeight w:val="206"/>
        </w:trPr>
        <w:tc>
          <w:tcPr>
            <w:tcW w:w="7119" w:type="dxa"/>
            <w:gridSpan w:val="3"/>
            <w:tcBorders>
              <w:top w:val="single" w:sz="4" w:space="0" w:color="auto"/>
              <w:left w:val="single" w:sz="4" w:space="0" w:color="auto"/>
              <w:bottom w:val="single" w:sz="4" w:space="0" w:color="auto"/>
              <w:right w:val="single" w:sz="4" w:space="0" w:color="auto"/>
            </w:tcBorders>
            <w:vAlign w:val="center"/>
          </w:tcPr>
          <w:p w14:paraId="1E6C00D0" w14:textId="77777777" w:rsidR="00ED4F26" w:rsidRPr="00343B5C" w:rsidRDefault="00ED4F26" w:rsidP="00215C7B">
            <w:pPr>
              <w:spacing w:after="120"/>
              <w:ind w:left="33" w:firstLine="0"/>
              <w:jc w:val="center"/>
            </w:pPr>
            <w:r w:rsidRPr="00343B5C">
              <w:t>Duration of the fee and access plan</w:t>
            </w:r>
          </w:p>
        </w:tc>
        <w:tc>
          <w:tcPr>
            <w:tcW w:w="8049" w:type="dxa"/>
            <w:tcBorders>
              <w:top w:val="single" w:sz="4" w:space="0" w:color="auto"/>
              <w:left w:val="single" w:sz="4" w:space="0" w:color="auto"/>
              <w:bottom w:val="single" w:sz="4" w:space="0" w:color="auto"/>
              <w:right w:val="single" w:sz="4" w:space="0" w:color="auto"/>
            </w:tcBorders>
          </w:tcPr>
          <w:p w14:paraId="3067DE97" w14:textId="5991CB4C" w:rsidR="007C7243" w:rsidRPr="00343B5C" w:rsidRDefault="007C7243" w:rsidP="007C7243">
            <w:pPr>
              <w:tabs>
                <w:tab w:val="left" w:pos="1721"/>
              </w:tabs>
              <w:spacing w:after="120"/>
              <w:ind w:left="33" w:firstLine="0"/>
            </w:pPr>
            <w:r>
              <w:t>1</w:t>
            </w:r>
            <w:r w:rsidR="00A014F0">
              <w:t xml:space="preserve"> August 2022 to 31 July 2023 </w:t>
            </w:r>
          </w:p>
          <w:p w14:paraId="1BD31515" w14:textId="332D9FF6" w:rsidR="00ED4F26" w:rsidRPr="00343B5C" w:rsidRDefault="00ED4F26" w:rsidP="00C75774">
            <w:pPr>
              <w:tabs>
                <w:tab w:val="left" w:pos="1721"/>
              </w:tabs>
              <w:spacing w:after="120"/>
              <w:ind w:left="33" w:firstLine="0"/>
            </w:pPr>
          </w:p>
        </w:tc>
      </w:tr>
      <w:tr w:rsidR="00343B5C" w:rsidRPr="00343B5C" w14:paraId="1E595FA6" w14:textId="77777777" w:rsidTr="00215C7B">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E88595" w14:textId="77777777" w:rsidR="0060478F" w:rsidRPr="00343B5C" w:rsidRDefault="00ED4F26" w:rsidP="0060478F">
            <w:pPr>
              <w:pStyle w:val="Heading2"/>
              <w:jc w:val="center"/>
              <w:rPr>
                <w:b/>
              </w:rPr>
            </w:pPr>
            <w:r w:rsidRPr="00343B5C">
              <w:rPr>
                <w:b/>
              </w:rPr>
              <w:t>Section 1 - Fee levels</w:t>
            </w:r>
          </w:p>
        </w:tc>
      </w:tr>
      <w:tr w:rsidR="00343B5C" w:rsidRPr="00343B5C" w14:paraId="3CEB81B0" w14:textId="77777777" w:rsidTr="00215C7B">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737D2" w14:textId="77777777" w:rsidR="00ED4F26" w:rsidRPr="00343B5C" w:rsidRDefault="00ED4F26" w:rsidP="00E663B2">
            <w:pPr>
              <w:pStyle w:val="Heading3"/>
              <w:jc w:val="center"/>
              <w:rPr>
                <w:rFonts w:ascii="Arial" w:hAnsi="Arial" w:cs="Arial"/>
                <w:color w:val="auto"/>
              </w:rPr>
            </w:pPr>
            <w:r w:rsidRPr="00343B5C">
              <w:rPr>
                <w:rFonts w:ascii="Arial" w:hAnsi="Arial" w:cs="Arial"/>
                <w:color w:val="auto"/>
              </w:rPr>
              <w:t>Section 1.1 – Fee levels or the determination of a fee level at each location</w:t>
            </w:r>
          </w:p>
          <w:p w14:paraId="40E56F4C" w14:textId="24E5D47B" w:rsidR="0060478F" w:rsidRPr="00343B5C" w:rsidRDefault="0060478F" w:rsidP="00AA033D">
            <w:pPr>
              <w:jc w:val="center"/>
            </w:pPr>
          </w:p>
        </w:tc>
      </w:tr>
      <w:tr w:rsidR="00343B5C" w:rsidRPr="00343B5C" w14:paraId="78B02DE6" w14:textId="77777777" w:rsidTr="00F6290D">
        <w:trPr>
          <w:trHeight w:val="18"/>
        </w:trPr>
        <w:tc>
          <w:tcPr>
            <w:tcW w:w="4117" w:type="dxa"/>
            <w:gridSpan w:val="2"/>
            <w:tcBorders>
              <w:top w:val="single" w:sz="4" w:space="0" w:color="auto"/>
              <w:left w:val="single" w:sz="4" w:space="0" w:color="auto"/>
              <w:bottom w:val="single" w:sz="4" w:space="0" w:color="auto"/>
              <w:right w:val="single" w:sz="4" w:space="0" w:color="auto"/>
            </w:tcBorders>
            <w:vAlign w:val="center"/>
          </w:tcPr>
          <w:p w14:paraId="31DB16ED" w14:textId="77777777" w:rsidR="00ED4F26" w:rsidRPr="00343B5C" w:rsidRDefault="00360339" w:rsidP="00B80B2B">
            <w:pPr>
              <w:ind w:left="34" w:firstLine="0"/>
              <w:jc w:val="center"/>
              <w:rPr>
                <w:b/>
              </w:rPr>
            </w:pPr>
            <w:r w:rsidRPr="00343B5C">
              <w:rPr>
                <w:b/>
              </w:rPr>
              <w:t>Fee level</w:t>
            </w:r>
          </w:p>
        </w:tc>
        <w:tc>
          <w:tcPr>
            <w:tcW w:w="11051" w:type="dxa"/>
            <w:gridSpan w:val="2"/>
            <w:tcBorders>
              <w:top w:val="single" w:sz="4" w:space="0" w:color="auto"/>
              <w:left w:val="single" w:sz="4" w:space="0" w:color="auto"/>
              <w:bottom w:val="single" w:sz="4" w:space="0" w:color="auto"/>
              <w:right w:val="single" w:sz="4" w:space="0" w:color="auto"/>
            </w:tcBorders>
            <w:vAlign w:val="center"/>
          </w:tcPr>
          <w:p w14:paraId="3D0B61B5" w14:textId="77777777" w:rsidR="00ED4F26" w:rsidRPr="00343B5C" w:rsidRDefault="00ED4F26" w:rsidP="00B80B2B">
            <w:pPr>
              <w:ind w:left="34" w:firstLine="0"/>
              <w:jc w:val="center"/>
              <w:rPr>
                <w:b/>
              </w:rPr>
            </w:pPr>
            <w:r w:rsidRPr="00343B5C">
              <w:rPr>
                <w:b/>
              </w:rPr>
              <w:t>Location of course</w:t>
            </w:r>
          </w:p>
        </w:tc>
      </w:tr>
      <w:tr w:rsidR="00343B5C" w:rsidRPr="00343B5C" w14:paraId="42C62D90" w14:textId="77777777" w:rsidTr="00F6290D">
        <w:trPr>
          <w:trHeight w:val="514"/>
        </w:trPr>
        <w:tc>
          <w:tcPr>
            <w:tcW w:w="4117" w:type="dxa"/>
            <w:gridSpan w:val="2"/>
            <w:vMerge w:val="restart"/>
            <w:tcBorders>
              <w:top w:val="single" w:sz="4" w:space="0" w:color="auto"/>
              <w:left w:val="single" w:sz="4" w:space="0" w:color="auto"/>
              <w:right w:val="single" w:sz="4" w:space="0" w:color="auto"/>
            </w:tcBorders>
            <w:vAlign w:val="center"/>
          </w:tcPr>
          <w:p w14:paraId="19DDC5E5" w14:textId="18578959" w:rsidR="00B80B2B" w:rsidRPr="00343B5C" w:rsidRDefault="00E159E2" w:rsidP="0060478F">
            <w:pPr>
              <w:ind w:left="34" w:firstLine="0"/>
            </w:pPr>
            <w:r>
              <w:t>£9,000</w:t>
            </w:r>
            <w:r w:rsidR="0060478F" w:rsidRPr="00343B5C">
              <w:t xml:space="preserve"> </w:t>
            </w:r>
          </w:p>
        </w:tc>
        <w:tc>
          <w:tcPr>
            <w:tcW w:w="11051" w:type="dxa"/>
            <w:gridSpan w:val="2"/>
            <w:tcBorders>
              <w:top w:val="single" w:sz="4" w:space="0" w:color="auto"/>
              <w:left w:val="single" w:sz="4" w:space="0" w:color="auto"/>
              <w:bottom w:val="single" w:sz="4" w:space="0" w:color="auto"/>
              <w:right w:val="single" w:sz="4" w:space="0" w:color="auto"/>
            </w:tcBorders>
            <w:vAlign w:val="center"/>
          </w:tcPr>
          <w:p w14:paraId="4157A6C3" w14:textId="77777777" w:rsidR="00E159E2" w:rsidRPr="00F410CB" w:rsidRDefault="00E159E2" w:rsidP="00E159E2">
            <w:pPr>
              <w:spacing w:after="120"/>
              <w:ind w:left="34" w:firstLine="0"/>
              <w:rPr>
                <w:rFonts w:asciiTheme="minorHAnsi" w:hAnsiTheme="minorHAnsi" w:cstheme="minorHAnsi"/>
                <w:b/>
              </w:rPr>
            </w:pPr>
            <w:r w:rsidRPr="00F410CB">
              <w:rPr>
                <w:rFonts w:asciiTheme="minorHAnsi" w:hAnsiTheme="minorHAnsi" w:cstheme="minorHAnsi"/>
                <w:b/>
              </w:rPr>
              <w:t>Swansea University</w:t>
            </w:r>
          </w:p>
          <w:p w14:paraId="5AA54E8B" w14:textId="77777777" w:rsidR="00E159E2" w:rsidRPr="00F410CB" w:rsidRDefault="00E159E2" w:rsidP="00E159E2">
            <w:pPr>
              <w:pStyle w:val="ListParagraph"/>
              <w:numPr>
                <w:ilvl w:val="0"/>
                <w:numId w:val="25"/>
              </w:numPr>
              <w:spacing w:after="120"/>
              <w:rPr>
                <w:rFonts w:asciiTheme="minorHAnsi" w:hAnsiTheme="minorHAnsi" w:cstheme="minorHAnsi"/>
              </w:rPr>
            </w:pPr>
            <w:r w:rsidRPr="00F410CB">
              <w:rPr>
                <w:rFonts w:asciiTheme="minorHAnsi" w:hAnsiTheme="minorHAnsi" w:cstheme="minorHAnsi"/>
              </w:rPr>
              <w:t>Bachelor’s Degree Honours</w:t>
            </w:r>
          </w:p>
          <w:p w14:paraId="12C3242F" w14:textId="77777777" w:rsidR="00E159E2" w:rsidRPr="00F410CB" w:rsidRDefault="00E159E2" w:rsidP="00E159E2">
            <w:pPr>
              <w:pStyle w:val="ListParagraph"/>
              <w:numPr>
                <w:ilvl w:val="0"/>
                <w:numId w:val="25"/>
              </w:numPr>
              <w:spacing w:after="120"/>
              <w:rPr>
                <w:rFonts w:asciiTheme="minorHAnsi" w:hAnsiTheme="minorHAnsi" w:cstheme="minorHAnsi"/>
              </w:rPr>
            </w:pPr>
            <w:r w:rsidRPr="00F410CB">
              <w:rPr>
                <w:rFonts w:asciiTheme="minorHAnsi" w:hAnsiTheme="minorHAnsi" w:cstheme="minorHAnsi"/>
              </w:rPr>
              <w:t>Certificate of Higher Education (</w:t>
            </w:r>
            <w:proofErr w:type="gramStart"/>
            <w:r w:rsidRPr="00F410CB">
              <w:rPr>
                <w:rFonts w:asciiTheme="minorHAnsi" w:hAnsiTheme="minorHAnsi" w:cstheme="minorHAnsi"/>
              </w:rPr>
              <w:t>1 year</w:t>
            </w:r>
            <w:proofErr w:type="gramEnd"/>
            <w:r w:rsidRPr="00F410CB">
              <w:rPr>
                <w:rFonts w:asciiTheme="minorHAnsi" w:hAnsiTheme="minorHAnsi" w:cstheme="minorHAnsi"/>
              </w:rPr>
              <w:t xml:space="preserve"> full-time course)</w:t>
            </w:r>
          </w:p>
          <w:p w14:paraId="634FD1F3" w14:textId="77777777" w:rsidR="00E159E2" w:rsidRPr="00F410CB" w:rsidRDefault="00E159E2" w:rsidP="00E159E2">
            <w:pPr>
              <w:pStyle w:val="ListParagraph"/>
              <w:numPr>
                <w:ilvl w:val="0"/>
                <w:numId w:val="25"/>
              </w:numPr>
              <w:spacing w:after="120"/>
              <w:rPr>
                <w:rFonts w:asciiTheme="minorHAnsi" w:hAnsiTheme="minorHAnsi" w:cstheme="minorHAnsi"/>
              </w:rPr>
            </w:pPr>
            <w:r w:rsidRPr="00F410CB">
              <w:rPr>
                <w:rFonts w:asciiTheme="minorHAnsi" w:hAnsiTheme="minorHAnsi" w:cstheme="minorHAnsi"/>
              </w:rPr>
              <w:t>First degree in Health/Veterinary or eligibility based on previous qualifications to start course in years 2 or 3</w:t>
            </w:r>
          </w:p>
          <w:p w14:paraId="08363DEF" w14:textId="77777777" w:rsidR="00E159E2" w:rsidRPr="00F410CB" w:rsidRDefault="00E159E2" w:rsidP="00E159E2">
            <w:pPr>
              <w:pStyle w:val="ListParagraph"/>
              <w:numPr>
                <w:ilvl w:val="0"/>
                <w:numId w:val="25"/>
              </w:numPr>
              <w:spacing w:after="120"/>
              <w:rPr>
                <w:rFonts w:asciiTheme="minorHAnsi" w:hAnsiTheme="minorHAnsi" w:cstheme="minorHAnsi"/>
              </w:rPr>
            </w:pPr>
            <w:r w:rsidRPr="00F410CB">
              <w:rPr>
                <w:rFonts w:asciiTheme="minorHAnsi" w:hAnsiTheme="minorHAnsi" w:cstheme="minorHAnsi"/>
              </w:rPr>
              <w:t>Diploma and eligibility for Health/Veterinary</w:t>
            </w:r>
          </w:p>
          <w:p w14:paraId="2F9D4C06" w14:textId="77777777" w:rsidR="00E159E2" w:rsidRPr="00E159E2" w:rsidRDefault="00E159E2" w:rsidP="00E159E2">
            <w:pPr>
              <w:pStyle w:val="ListParagraph"/>
              <w:numPr>
                <w:ilvl w:val="0"/>
                <w:numId w:val="25"/>
              </w:numPr>
              <w:spacing w:after="120"/>
            </w:pPr>
            <w:r w:rsidRPr="00F410CB">
              <w:rPr>
                <w:rFonts w:asciiTheme="minorHAnsi" w:hAnsiTheme="minorHAnsi" w:cstheme="minorHAnsi"/>
              </w:rPr>
              <w:t>Enhanced First Degree (</w:t>
            </w:r>
            <w:proofErr w:type="gramStart"/>
            <w:r w:rsidRPr="00F410CB">
              <w:rPr>
                <w:rFonts w:asciiTheme="minorHAnsi" w:hAnsiTheme="minorHAnsi" w:cstheme="minorHAnsi"/>
              </w:rPr>
              <w:t>4 year</w:t>
            </w:r>
            <w:proofErr w:type="gramEnd"/>
            <w:r w:rsidRPr="00F410CB">
              <w:rPr>
                <w:rFonts w:asciiTheme="minorHAnsi" w:hAnsiTheme="minorHAnsi" w:cstheme="minorHAnsi"/>
              </w:rPr>
              <w:t xml:space="preserve"> degree leading to a Masters qualification)</w:t>
            </w:r>
          </w:p>
          <w:p w14:paraId="6C2E2ECC" w14:textId="1C778105" w:rsidR="00ED4F26" w:rsidRPr="00343B5C" w:rsidRDefault="00E159E2" w:rsidP="00E159E2">
            <w:pPr>
              <w:pStyle w:val="ListParagraph"/>
              <w:numPr>
                <w:ilvl w:val="0"/>
                <w:numId w:val="25"/>
              </w:numPr>
              <w:spacing w:after="120"/>
            </w:pPr>
            <w:r w:rsidRPr="00F410CB">
              <w:rPr>
                <w:rFonts w:asciiTheme="minorHAnsi" w:hAnsiTheme="minorHAnsi" w:cstheme="minorHAnsi"/>
              </w:rPr>
              <w:lastRenderedPageBreak/>
              <w:t>PGCE</w:t>
            </w:r>
          </w:p>
        </w:tc>
      </w:tr>
      <w:tr w:rsidR="00343B5C" w:rsidRPr="00343B5C" w14:paraId="0A5DA6BC" w14:textId="77777777" w:rsidTr="00F6290D">
        <w:trPr>
          <w:trHeight w:val="509"/>
        </w:trPr>
        <w:tc>
          <w:tcPr>
            <w:tcW w:w="4117" w:type="dxa"/>
            <w:gridSpan w:val="2"/>
            <w:vMerge/>
            <w:tcBorders>
              <w:left w:val="single" w:sz="4" w:space="0" w:color="auto"/>
              <w:right w:val="single" w:sz="4" w:space="0" w:color="auto"/>
            </w:tcBorders>
            <w:vAlign w:val="center"/>
          </w:tcPr>
          <w:p w14:paraId="47CEC50E" w14:textId="77777777" w:rsidR="00ED4F26" w:rsidRPr="00343B5C" w:rsidRDefault="00ED4F26" w:rsidP="00B80B2B">
            <w:pPr>
              <w:ind w:left="34" w:firstLine="0"/>
              <w:jc w:val="center"/>
            </w:pPr>
          </w:p>
        </w:tc>
        <w:tc>
          <w:tcPr>
            <w:tcW w:w="11051" w:type="dxa"/>
            <w:gridSpan w:val="2"/>
            <w:tcBorders>
              <w:top w:val="single" w:sz="4" w:space="0" w:color="auto"/>
              <w:left w:val="single" w:sz="4" w:space="0" w:color="auto"/>
              <w:bottom w:val="single" w:sz="4" w:space="0" w:color="auto"/>
              <w:right w:val="single" w:sz="4" w:space="0" w:color="auto"/>
            </w:tcBorders>
          </w:tcPr>
          <w:p w14:paraId="7F9B645B" w14:textId="77777777" w:rsidR="00E159E2" w:rsidRPr="00F410CB" w:rsidRDefault="00E159E2" w:rsidP="00E159E2">
            <w:pPr>
              <w:spacing w:after="120"/>
              <w:ind w:left="34" w:firstLine="0"/>
              <w:rPr>
                <w:rFonts w:asciiTheme="minorHAnsi" w:hAnsiTheme="minorHAnsi" w:cstheme="minorHAnsi"/>
                <w:b/>
              </w:rPr>
            </w:pPr>
            <w:r w:rsidRPr="00F410CB">
              <w:rPr>
                <w:rFonts w:asciiTheme="minorHAnsi" w:hAnsiTheme="minorHAnsi" w:cstheme="minorHAnsi"/>
                <w:b/>
              </w:rPr>
              <w:t>Coleg Cambria</w:t>
            </w:r>
          </w:p>
          <w:p w14:paraId="590E0834" w14:textId="0765E402" w:rsidR="00ED4F26" w:rsidRPr="00343B5C" w:rsidRDefault="00E159E2" w:rsidP="00E159E2">
            <w:pPr>
              <w:spacing w:after="120"/>
              <w:ind w:left="34" w:firstLine="0"/>
            </w:pPr>
            <w:r w:rsidRPr="00F410CB">
              <w:rPr>
                <w:rFonts w:asciiTheme="minorHAnsi" w:hAnsiTheme="minorHAnsi" w:cstheme="minorHAnsi"/>
              </w:rPr>
              <w:t>First Degree</w:t>
            </w:r>
          </w:p>
        </w:tc>
      </w:tr>
      <w:tr w:rsidR="00E159E2" w:rsidRPr="00343B5C" w14:paraId="0C1AFF9A" w14:textId="77777777" w:rsidTr="00F6290D">
        <w:trPr>
          <w:trHeight w:val="325"/>
        </w:trPr>
        <w:tc>
          <w:tcPr>
            <w:tcW w:w="4117" w:type="dxa"/>
            <w:gridSpan w:val="2"/>
            <w:tcBorders>
              <w:top w:val="single" w:sz="4" w:space="0" w:color="auto"/>
              <w:left w:val="single" w:sz="4" w:space="0" w:color="auto"/>
              <w:right w:val="single" w:sz="4" w:space="0" w:color="auto"/>
            </w:tcBorders>
            <w:vAlign w:val="center"/>
          </w:tcPr>
          <w:p w14:paraId="7F03C578" w14:textId="17C8523A" w:rsidR="00E159E2" w:rsidRDefault="00E159E2" w:rsidP="00E159E2">
            <w:pPr>
              <w:ind w:left="34" w:firstLine="0"/>
            </w:pPr>
            <w:r>
              <w:t>£7,500</w:t>
            </w:r>
          </w:p>
        </w:tc>
        <w:tc>
          <w:tcPr>
            <w:tcW w:w="11051" w:type="dxa"/>
            <w:gridSpan w:val="2"/>
            <w:tcBorders>
              <w:top w:val="single" w:sz="4" w:space="0" w:color="auto"/>
              <w:left w:val="single" w:sz="4" w:space="0" w:color="auto"/>
              <w:bottom w:val="single" w:sz="4" w:space="0" w:color="auto"/>
              <w:right w:val="single" w:sz="4" w:space="0" w:color="auto"/>
            </w:tcBorders>
            <w:vAlign w:val="center"/>
          </w:tcPr>
          <w:p w14:paraId="7B072A7F" w14:textId="77777777" w:rsidR="00E159E2" w:rsidRPr="00F410CB" w:rsidRDefault="00E159E2" w:rsidP="00E159E2">
            <w:pPr>
              <w:spacing w:after="120"/>
              <w:ind w:left="34" w:firstLine="0"/>
              <w:rPr>
                <w:rFonts w:asciiTheme="minorHAnsi" w:hAnsiTheme="minorHAnsi" w:cstheme="minorHAnsi"/>
                <w:b/>
              </w:rPr>
            </w:pPr>
            <w:r w:rsidRPr="00F410CB">
              <w:rPr>
                <w:rFonts w:asciiTheme="minorHAnsi" w:hAnsiTheme="minorHAnsi" w:cstheme="minorHAnsi"/>
                <w:b/>
              </w:rPr>
              <w:t>Coleg Cambria</w:t>
            </w:r>
          </w:p>
          <w:p w14:paraId="4EBB8CF2" w14:textId="5CF64983" w:rsidR="00E159E2" w:rsidRPr="00F410CB" w:rsidRDefault="00E159E2" w:rsidP="00E159E2">
            <w:pPr>
              <w:spacing w:after="120"/>
              <w:ind w:left="34" w:firstLine="0"/>
              <w:rPr>
                <w:rFonts w:asciiTheme="minorHAnsi" w:hAnsiTheme="minorHAnsi" w:cstheme="minorHAnsi"/>
                <w:b/>
              </w:rPr>
            </w:pPr>
            <w:r w:rsidRPr="00F410CB">
              <w:rPr>
                <w:rFonts w:asciiTheme="minorHAnsi" w:hAnsiTheme="minorHAnsi" w:cstheme="minorHAnsi"/>
              </w:rPr>
              <w:t>Foundation Degree</w:t>
            </w:r>
          </w:p>
        </w:tc>
      </w:tr>
      <w:tr w:rsidR="00E159E2" w:rsidRPr="00343B5C" w14:paraId="11B68B9C" w14:textId="77777777" w:rsidTr="00F6290D">
        <w:trPr>
          <w:trHeight w:val="325"/>
        </w:trPr>
        <w:tc>
          <w:tcPr>
            <w:tcW w:w="4117" w:type="dxa"/>
            <w:gridSpan w:val="2"/>
            <w:tcBorders>
              <w:top w:val="single" w:sz="4" w:space="0" w:color="auto"/>
              <w:left w:val="single" w:sz="4" w:space="0" w:color="auto"/>
              <w:right w:val="single" w:sz="4" w:space="0" w:color="auto"/>
            </w:tcBorders>
            <w:vAlign w:val="center"/>
          </w:tcPr>
          <w:p w14:paraId="614E352E" w14:textId="07FCFD12" w:rsidR="00E159E2" w:rsidRDefault="00E159E2" w:rsidP="00E159E2">
            <w:pPr>
              <w:ind w:left="34" w:firstLine="0"/>
            </w:pPr>
            <w:r>
              <w:t>£1,800</w:t>
            </w:r>
          </w:p>
        </w:tc>
        <w:tc>
          <w:tcPr>
            <w:tcW w:w="11051" w:type="dxa"/>
            <w:gridSpan w:val="2"/>
            <w:tcBorders>
              <w:top w:val="single" w:sz="4" w:space="0" w:color="auto"/>
              <w:left w:val="single" w:sz="4" w:space="0" w:color="auto"/>
              <w:bottom w:val="single" w:sz="4" w:space="0" w:color="auto"/>
              <w:right w:val="single" w:sz="4" w:space="0" w:color="auto"/>
            </w:tcBorders>
            <w:vAlign w:val="center"/>
          </w:tcPr>
          <w:p w14:paraId="5878DA88" w14:textId="77777777" w:rsidR="00E159E2" w:rsidRPr="00F410CB" w:rsidRDefault="00E159E2" w:rsidP="00E159E2">
            <w:pPr>
              <w:spacing w:after="120"/>
              <w:ind w:left="34" w:firstLine="0"/>
              <w:rPr>
                <w:rFonts w:asciiTheme="minorHAnsi" w:hAnsiTheme="minorHAnsi" w:cstheme="minorHAnsi"/>
                <w:b/>
              </w:rPr>
            </w:pPr>
            <w:r w:rsidRPr="00F410CB">
              <w:rPr>
                <w:rFonts w:asciiTheme="minorHAnsi" w:hAnsiTheme="minorHAnsi" w:cstheme="minorHAnsi"/>
                <w:b/>
              </w:rPr>
              <w:t xml:space="preserve">Swansea University </w:t>
            </w:r>
          </w:p>
          <w:p w14:paraId="7386DA68" w14:textId="77777777" w:rsidR="00E159E2" w:rsidRPr="00E159E2" w:rsidRDefault="00E159E2" w:rsidP="00E159E2">
            <w:pPr>
              <w:pStyle w:val="ListParagraph"/>
              <w:numPr>
                <w:ilvl w:val="0"/>
                <w:numId w:val="25"/>
              </w:numPr>
              <w:spacing w:after="120"/>
              <w:rPr>
                <w:rFonts w:asciiTheme="minorHAnsi" w:hAnsiTheme="minorHAnsi" w:cstheme="minorHAnsi"/>
                <w:b/>
              </w:rPr>
            </w:pPr>
            <w:r w:rsidRPr="00F410CB">
              <w:rPr>
                <w:rFonts w:asciiTheme="minorHAnsi" w:hAnsiTheme="minorHAnsi" w:cstheme="minorHAnsi"/>
              </w:rPr>
              <w:t>Bachelor’s Degree Honours - year in industry (year 3)</w:t>
            </w:r>
          </w:p>
          <w:p w14:paraId="105B180E" w14:textId="1E9C76D0" w:rsidR="00E159E2" w:rsidRPr="00F410CB" w:rsidRDefault="00E159E2" w:rsidP="00E159E2">
            <w:pPr>
              <w:pStyle w:val="ListParagraph"/>
              <w:numPr>
                <w:ilvl w:val="0"/>
                <w:numId w:val="25"/>
              </w:numPr>
              <w:spacing w:after="120"/>
              <w:rPr>
                <w:rFonts w:asciiTheme="minorHAnsi" w:hAnsiTheme="minorHAnsi" w:cstheme="minorHAnsi"/>
                <w:b/>
              </w:rPr>
            </w:pPr>
            <w:r w:rsidRPr="00F410CB">
              <w:rPr>
                <w:rFonts w:asciiTheme="minorHAnsi" w:hAnsiTheme="minorHAnsi" w:cstheme="minorHAnsi"/>
              </w:rPr>
              <w:t>Enhanced First Degree - year in industry (year 4)</w:t>
            </w:r>
          </w:p>
        </w:tc>
      </w:tr>
      <w:tr w:rsidR="00E159E2" w:rsidRPr="00343B5C" w14:paraId="19FBD10A" w14:textId="77777777" w:rsidTr="00F6290D">
        <w:trPr>
          <w:trHeight w:val="325"/>
        </w:trPr>
        <w:tc>
          <w:tcPr>
            <w:tcW w:w="4117" w:type="dxa"/>
            <w:gridSpan w:val="2"/>
            <w:tcBorders>
              <w:top w:val="single" w:sz="4" w:space="0" w:color="auto"/>
              <w:left w:val="single" w:sz="4" w:space="0" w:color="auto"/>
              <w:right w:val="single" w:sz="4" w:space="0" w:color="auto"/>
            </w:tcBorders>
            <w:vAlign w:val="center"/>
          </w:tcPr>
          <w:p w14:paraId="20C9D211" w14:textId="78126890" w:rsidR="00E159E2" w:rsidRPr="00343B5C" w:rsidRDefault="00E159E2" w:rsidP="00E159E2">
            <w:pPr>
              <w:ind w:left="34" w:firstLine="0"/>
            </w:pPr>
            <w:r>
              <w:t>£1,350</w:t>
            </w:r>
          </w:p>
        </w:tc>
        <w:tc>
          <w:tcPr>
            <w:tcW w:w="11051" w:type="dxa"/>
            <w:gridSpan w:val="2"/>
            <w:tcBorders>
              <w:top w:val="single" w:sz="4" w:space="0" w:color="auto"/>
              <w:left w:val="single" w:sz="4" w:space="0" w:color="auto"/>
              <w:bottom w:val="single" w:sz="4" w:space="0" w:color="auto"/>
              <w:right w:val="single" w:sz="4" w:space="0" w:color="auto"/>
            </w:tcBorders>
            <w:vAlign w:val="center"/>
          </w:tcPr>
          <w:p w14:paraId="782B78C5" w14:textId="77777777" w:rsidR="00E159E2" w:rsidRPr="00F410CB" w:rsidRDefault="00E159E2" w:rsidP="00E159E2">
            <w:pPr>
              <w:spacing w:after="120"/>
              <w:ind w:left="34" w:firstLine="0"/>
              <w:rPr>
                <w:rFonts w:asciiTheme="minorHAnsi" w:hAnsiTheme="minorHAnsi" w:cstheme="minorHAnsi"/>
                <w:b/>
              </w:rPr>
            </w:pPr>
            <w:r w:rsidRPr="00F410CB">
              <w:rPr>
                <w:rFonts w:asciiTheme="minorHAnsi" w:hAnsiTheme="minorHAnsi" w:cstheme="minorHAnsi"/>
                <w:b/>
              </w:rPr>
              <w:t>Swansea University</w:t>
            </w:r>
          </w:p>
          <w:p w14:paraId="06B99112" w14:textId="77777777" w:rsidR="00E159E2" w:rsidRPr="00E159E2" w:rsidRDefault="00E159E2" w:rsidP="00E159E2">
            <w:pPr>
              <w:pStyle w:val="ListParagraph"/>
              <w:numPr>
                <w:ilvl w:val="0"/>
                <w:numId w:val="30"/>
              </w:numPr>
              <w:spacing w:after="120"/>
            </w:pPr>
            <w:r w:rsidRPr="00F410CB">
              <w:rPr>
                <w:rFonts w:asciiTheme="minorHAnsi" w:hAnsiTheme="minorHAnsi" w:cstheme="minorHAnsi"/>
              </w:rPr>
              <w:t xml:space="preserve">Bachelor’s Degree Honours - year abroad </w:t>
            </w:r>
          </w:p>
          <w:p w14:paraId="54033457" w14:textId="41F8F41B" w:rsidR="00E159E2" w:rsidRPr="00343B5C" w:rsidRDefault="00E159E2" w:rsidP="00E159E2">
            <w:pPr>
              <w:pStyle w:val="ListParagraph"/>
              <w:numPr>
                <w:ilvl w:val="0"/>
                <w:numId w:val="30"/>
              </w:numPr>
              <w:spacing w:after="120"/>
            </w:pPr>
            <w:r w:rsidRPr="00F410CB">
              <w:rPr>
                <w:rFonts w:asciiTheme="minorHAnsi" w:hAnsiTheme="minorHAnsi" w:cstheme="minorHAnsi"/>
              </w:rPr>
              <w:t>Enhanced First Degree - year abroad</w:t>
            </w:r>
          </w:p>
        </w:tc>
      </w:tr>
      <w:tr w:rsidR="00E159E2" w:rsidRPr="00343B5C" w14:paraId="51A70255" w14:textId="77777777" w:rsidTr="00550821">
        <w:trPr>
          <w:trHeight w:val="325"/>
        </w:trPr>
        <w:tc>
          <w:tcPr>
            <w:tcW w:w="15168" w:type="dxa"/>
            <w:gridSpan w:val="4"/>
            <w:tcBorders>
              <w:top w:val="single" w:sz="4" w:space="0" w:color="auto"/>
              <w:left w:val="single" w:sz="4" w:space="0" w:color="auto"/>
              <w:right w:val="single" w:sz="4" w:space="0" w:color="auto"/>
            </w:tcBorders>
            <w:vAlign w:val="center"/>
          </w:tcPr>
          <w:p w14:paraId="62A959E1" w14:textId="77777777" w:rsidR="00E159E2" w:rsidRDefault="00E159E2" w:rsidP="00E159E2">
            <w:pPr>
              <w:spacing w:after="120"/>
              <w:ind w:left="34" w:firstLine="0"/>
              <w:rPr>
                <w:rFonts w:asciiTheme="minorHAnsi" w:hAnsiTheme="minorHAnsi" w:cstheme="minorHAnsi"/>
                <w:bCs/>
              </w:rPr>
            </w:pPr>
            <w:r w:rsidRPr="00E159E2">
              <w:rPr>
                <w:rFonts w:asciiTheme="minorHAnsi" w:hAnsiTheme="minorHAnsi" w:cstheme="minorHAnsi"/>
                <w:bCs/>
              </w:rPr>
              <w:t>Fees for full time Undergraduate UK students may be increased in subsequent years of study by an inflationary amount determined by Welsh Government.</w:t>
            </w:r>
          </w:p>
          <w:p w14:paraId="3BA8B14F" w14:textId="5CE54588" w:rsidR="00C946FC" w:rsidRPr="00E159E2" w:rsidRDefault="00C946FC" w:rsidP="00E159E2">
            <w:pPr>
              <w:spacing w:after="120"/>
              <w:ind w:left="34" w:firstLine="0"/>
              <w:rPr>
                <w:rFonts w:asciiTheme="minorHAnsi" w:hAnsiTheme="minorHAnsi" w:cstheme="minorHAnsi"/>
                <w:bCs/>
              </w:rPr>
            </w:pPr>
          </w:p>
        </w:tc>
      </w:tr>
      <w:tr w:rsidR="00E159E2" w:rsidRPr="00343B5C" w14:paraId="7835C8D3" w14:textId="77777777" w:rsidTr="00215C7B">
        <w:trPr>
          <w:trHeight w:val="118"/>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7E32B" w14:textId="77777777" w:rsidR="00E159E2" w:rsidRPr="00343B5C" w:rsidRDefault="00E159E2" w:rsidP="00E159E2">
            <w:pPr>
              <w:pStyle w:val="Heading3"/>
              <w:jc w:val="center"/>
              <w:rPr>
                <w:rFonts w:ascii="Arial" w:hAnsi="Arial" w:cs="Arial"/>
                <w:color w:val="auto"/>
              </w:rPr>
            </w:pPr>
            <w:r w:rsidRPr="00343B5C">
              <w:rPr>
                <w:rFonts w:ascii="Arial" w:hAnsi="Arial" w:cs="Arial"/>
                <w:color w:val="auto"/>
              </w:rPr>
              <w:lastRenderedPageBreak/>
              <w:t>Section 1.2 - Aggregate fee levels</w:t>
            </w:r>
          </w:p>
          <w:p w14:paraId="4A92AE4E" w14:textId="756E55FD" w:rsidR="00E159E2" w:rsidRPr="00343B5C" w:rsidRDefault="00E159E2" w:rsidP="00E159E2">
            <w:pPr>
              <w:jc w:val="center"/>
            </w:pPr>
          </w:p>
        </w:tc>
      </w:tr>
      <w:tr w:rsidR="00E159E2" w:rsidRPr="00343B5C" w14:paraId="5949860B" w14:textId="77777777" w:rsidTr="00F24866">
        <w:trPr>
          <w:trHeight w:val="1591"/>
        </w:trPr>
        <w:tc>
          <w:tcPr>
            <w:tcW w:w="15168" w:type="dxa"/>
            <w:gridSpan w:val="4"/>
            <w:tcBorders>
              <w:top w:val="single" w:sz="4" w:space="0" w:color="auto"/>
              <w:left w:val="single" w:sz="4" w:space="0" w:color="auto"/>
              <w:bottom w:val="single" w:sz="4" w:space="0" w:color="auto"/>
              <w:right w:val="single" w:sz="4" w:space="0" w:color="auto"/>
            </w:tcBorders>
            <w:vAlign w:val="center"/>
          </w:tcPr>
          <w:p w14:paraId="1CA18009" w14:textId="77777777" w:rsidR="0027704E" w:rsidRPr="00F410CB" w:rsidRDefault="0027704E" w:rsidP="0027704E">
            <w:pPr>
              <w:ind w:left="0" w:firstLine="0"/>
              <w:jc w:val="both"/>
              <w:rPr>
                <w:rFonts w:asciiTheme="minorHAnsi" w:hAnsiTheme="minorHAnsi" w:cstheme="minorHAnsi"/>
                <w:b/>
                <w:szCs w:val="24"/>
              </w:rPr>
            </w:pPr>
            <w:r w:rsidRPr="00F410CB">
              <w:rPr>
                <w:rFonts w:asciiTheme="minorHAnsi" w:hAnsiTheme="minorHAnsi" w:cstheme="minorHAnsi"/>
                <w:b/>
                <w:szCs w:val="24"/>
              </w:rPr>
              <w:t>Total cost of tuition fees across course duration (aggregate fees)</w:t>
            </w:r>
          </w:p>
          <w:p w14:paraId="7AB9968F" w14:textId="77777777" w:rsidR="0027704E" w:rsidRPr="00F410CB" w:rsidRDefault="0027704E" w:rsidP="0027704E">
            <w:pPr>
              <w:ind w:left="0" w:firstLine="0"/>
              <w:jc w:val="both"/>
              <w:rPr>
                <w:rFonts w:asciiTheme="minorHAnsi" w:hAnsiTheme="minorHAnsi" w:cstheme="minorHAnsi"/>
                <w:szCs w:val="24"/>
              </w:rPr>
            </w:pPr>
            <w:r w:rsidRPr="00F410CB">
              <w:rPr>
                <w:rFonts w:asciiTheme="minorHAnsi" w:hAnsiTheme="minorHAnsi" w:cstheme="minorHAnsi"/>
                <w:szCs w:val="24"/>
              </w:rPr>
              <w:t>Using the information from our course pages on our website it is possible for students to calculate the total or aggregate tuition fee they will pay across their chosen degree. Some typical examples are listed below:</w:t>
            </w:r>
          </w:p>
          <w:p w14:paraId="3CD1DC1E" w14:textId="77777777" w:rsidR="0027704E" w:rsidRPr="00F410CB" w:rsidRDefault="0027704E" w:rsidP="0027704E">
            <w:pPr>
              <w:ind w:left="0" w:firstLine="0"/>
              <w:jc w:val="both"/>
              <w:rPr>
                <w:rFonts w:asciiTheme="minorHAnsi" w:hAnsiTheme="minorHAnsi" w:cstheme="minorHAnsi"/>
                <w:szCs w:val="24"/>
              </w:rPr>
            </w:pPr>
          </w:p>
          <w:tbl>
            <w:tblPr>
              <w:tblStyle w:val="TableGrid"/>
              <w:tblW w:w="0" w:type="auto"/>
              <w:tblInd w:w="174" w:type="dxa"/>
              <w:tblLook w:val="04A0" w:firstRow="1" w:lastRow="0" w:firstColumn="1" w:lastColumn="0" w:noHBand="0" w:noVBand="1"/>
            </w:tblPr>
            <w:tblGrid>
              <w:gridCol w:w="5671"/>
              <w:gridCol w:w="5244"/>
              <w:gridCol w:w="3828"/>
            </w:tblGrid>
            <w:tr w:rsidR="0027704E" w:rsidRPr="00F410CB" w14:paraId="3FC72280" w14:textId="77777777" w:rsidTr="0062625C">
              <w:tc>
                <w:tcPr>
                  <w:tcW w:w="5671" w:type="dxa"/>
                  <w:shd w:val="clear" w:color="auto" w:fill="17365D" w:themeFill="text2" w:themeFillShade="BF"/>
                </w:tcPr>
                <w:p w14:paraId="59F64197" w14:textId="77777777" w:rsidR="0027704E" w:rsidRPr="00F410CB" w:rsidRDefault="0027704E" w:rsidP="0027704E">
                  <w:pPr>
                    <w:ind w:left="0" w:firstLine="0"/>
                    <w:rPr>
                      <w:rFonts w:asciiTheme="minorHAnsi" w:hAnsiTheme="minorHAnsi" w:cstheme="minorHAnsi"/>
                      <w:b/>
                      <w:szCs w:val="24"/>
                    </w:rPr>
                  </w:pPr>
                  <w:r w:rsidRPr="00F410CB">
                    <w:rPr>
                      <w:rFonts w:asciiTheme="minorHAnsi" w:hAnsiTheme="minorHAnsi" w:cstheme="minorHAnsi"/>
                      <w:b/>
                      <w:szCs w:val="24"/>
                    </w:rPr>
                    <w:t xml:space="preserve">Typical degree type </w:t>
                  </w:r>
                </w:p>
                <w:p w14:paraId="573F1DC3" w14:textId="77777777" w:rsidR="0027704E" w:rsidRPr="00F410CB" w:rsidRDefault="0027704E" w:rsidP="0027704E">
                  <w:pPr>
                    <w:ind w:left="0" w:firstLine="0"/>
                    <w:rPr>
                      <w:rFonts w:asciiTheme="minorHAnsi" w:hAnsiTheme="minorHAnsi" w:cstheme="minorHAnsi"/>
                      <w:b/>
                      <w:szCs w:val="24"/>
                    </w:rPr>
                  </w:pPr>
                  <w:r w:rsidRPr="00F410CB">
                    <w:rPr>
                      <w:rFonts w:asciiTheme="minorHAnsi" w:hAnsiTheme="minorHAnsi" w:cstheme="minorHAnsi"/>
                      <w:b/>
                      <w:szCs w:val="24"/>
                    </w:rPr>
                    <w:t>(UK/EU full time undergraduate)</w:t>
                  </w:r>
                </w:p>
              </w:tc>
              <w:tc>
                <w:tcPr>
                  <w:tcW w:w="5244" w:type="dxa"/>
                  <w:shd w:val="clear" w:color="auto" w:fill="17365D" w:themeFill="text2" w:themeFillShade="BF"/>
                </w:tcPr>
                <w:p w14:paraId="2B65AEDD" w14:textId="77777777" w:rsidR="0027704E" w:rsidRPr="00F410CB" w:rsidRDefault="0027704E" w:rsidP="0027704E">
                  <w:pPr>
                    <w:ind w:left="0" w:firstLine="0"/>
                    <w:rPr>
                      <w:rFonts w:asciiTheme="minorHAnsi" w:hAnsiTheme="minorHAnsi" w:cstheme="minorHAnsi"/>
                      <w:b/>
                      <w:szCs w:val="24"/>
                    </w:rPr>
                  </w:pPr>
                  <w:r w:rsidRPr="00F410CB">
                    <w:rPr>
                      <w:rFonts w:asciiTheme="minorHAnsi" w:hAnsiTheme="minorHAnsi" w:cstheme="minorHAnsi"/>
                      <w:b/>
                      <w:szCs w:val="24"/>
                    </w:rPr>
                    <w:t>Calculation</w:t>
                  </w:r>
                </w:p>
              </w:tc>
              <w:tc>
                <w:tcPr>
                  <w:tcW w:w="3828" w:type="dxa"/>
                  <w:shd w:val="clear" w:color="auto" w:fill="17365D" w:themeFill="text2" w:themeFillShade="BF"/>
                </w:tcPr>
                <w:p w14:paraId="76F212C6" w14:textId="77777777" w:rsidR="0027704E" w:rsidRPr="00F410CB" w:rsidRDefault="0027704E" w:rsidP="0027704E">
                  <w:pPr>
                    <w:ind w:left="0" w:firstLine="0"/>
                    <w:rPr>
                      <w:rFonts w:asciiTheme="minorHAnsi" w:hAnsiTheme="minorHAnsi" w:cstheme="minorHAnsi"/>
                      <w:b/>
                      <w:szCs w:val="24"/>
                    </w:rPr>
                  </w:pPr>
                  <w:r w:rsidRPr="00F410CB">
                    <w:rPr>
                      <w:rFonts w:asciiTheme="minorHAnsi" w:hAnsiTheme="minorHAnsi" w:cstheme="minorHAnsi"/>
                      <w:b/>
                      <w:szCs w:val="24"/>
                    </w:rPr>
                    <w:t>Total tuition fee across the duration of the course*</w:t>
                  </w:r>
                </w:p>
              </w:tc>
            </w:tr>
            <w:tr w:rsidR="0027704E" w:rsidRPr="00F410CB" w14:paraId="18AF13FC" w14:textId="77777777" w:rsidTr="0062625C">
              <w:tc>
                <w:tcPr>
                  <w:tcW w:w="5671" w:type="dxa"/>
                  <w:vAlign w:val="center"/>
                </w:tcPr>
                <w:p w14:paraId="558369FB" w14:textId="77777777" w:rsidR="0027704E" w:rsidRPr="00F410CB" w:rsidRDefault="0027704E" w:rsidP="0027704E">
                  <w:pPr>
                    <w:ind w:left="0" w:firstLine="0"/>
                    <w:rPr>
                      <w:rFonts w:asciiTheme="minorHAnsi" w:hAnsiTheme="minorHAnsi" w:cstheme="minorHAnsi"/>
                      <w:szCs w:val="24"/>
                    </w:rPr>
                  </w:pPr>
                  <w:proofErr w:type="gramStart"/>
                  <w:r w:rsidRPr="00F410CB">
                    <w:rPr>
                      <w:rFonts w:asciiTheme="minorHAnsi" w:hAnsiTheme="minorHAnsi" w:cstheme="minorHAnsi"/>
                      <w:szCs w:val="24"/>
                    </w:rPr>
                    <w:t>3 year</w:t>
                  </w:r>
                  <w:proofErr w:type="gramEnd"/>
                  <w:r w:rsidRPr="00F410CB">
                    <w:rPr>
                      <w:rFonts w:asciiTheme="minorHAnsi" w:hAnsiTheme="minorHAnsi" w:cstheme="minorHAnsi"/>
                      <w:szCs w:val="24"/>
                    </w:rPr>
                    <w:t xml:space="preserve"> full time undergraduate degree/PGCE</w:t>
                  </w:r>
                </w:p>
              </w:tc>
              <w:tc>
                <w:tcPr>
                  <w:tcW w:w="5244" w:type="dxa"/>
                  <w:vAlign w:val="center"/>
                </w:tcPr>
                <w:p w14:paraId="2D85A816" w14:textId="77777777" w:rsidR="0027704E" w:rsidRPr="00F410CB" w:rsidRDefault="0027704E" w:rsidP="0027704E">
                  <w:pPr>
                    <w:ind w:left="0" w:firstLine="0"/>
                    <w:rPr>
                      <w:rFonts w:asciiTheme="minorHAnsi" w:hAnsiTheme="minorHAnsi" w:cstheme="minorHAnsi"/>
                      <w:szCs w:val="24"/>
                    </w:rPr>
                  </w:pPr>
                  <w:r w:rsidRPr="00F410CB">
                    <w:rPr>
                      <w:rFonts w:asciiTheme="minorHAnsi" w:hAnsiTheme="minorHAnsi" w:cstheme="minorHAnsi"/>
                      <w:szCs w:val="24"/>
                    </w:rPr>
                    <w:t>3 x £9,000 per annum</w:t>
                  </w:r>
                </w:p>
              </w:tc>
              <w:tc>
                <w:tcPr>
                  <w:tcW w:w="3828" w:type="dxa"/>
                  <w:vAlign w:val="center"/>
                </w:tcPr>
                <w:p w14:paraId="7B8E2F07" w14:textId="77777777" w:rsidR="0027704E" w:rsidRPr="00F410CB" w:rsidRDefault="0027704E" w:rsidP="0027704E">
                  <w:pPr>
                    <w:ind w:left="0" w:firstLine="0"/>
                    <w:jc w:val="center"/>
                    <w:rPr>
                      <w:rFonts w:asciiTheme="minorHAnsi" w:hAnsiTheme="minorHAnsi" w:cstheme="minorHAnsi"/>
                      <w:szCs w:val="24"/>
                    </w:rPr>
                  </w:pPr>
                  <w:r w:rsidRPr="00F410CB">
                    <w:rPr>
                      <w:rFonts w:asciiTheme="minorHAnsi" w:hAnsiTheme="minorHAnsi" w:cstheme="minorHAnsi"/>
                      <w:szCs w:val="24"/>
                    </w:rPr>
                    <w:t>£27,000</w:t>
                  </w:r>
                </w:p>
              </w:tc>
            </w:tr>
            <w:tr w:rsidR="0027704E" w:rsidRPr="00F410CB" w14:paraId="72679E1A" w14:textId="77777777" w:rsidTr="0062625C">
              <w:tc>
                <w:tcPr>
                  <w:tcW w:w="5671" w:type="dxa"/>
                  <w:vAlign w:val="center"/>
                </w:tcPr>
                <w:p w14:paraId="0F9E6884" w14:textId="77777777" w:rsidR="0027704E" w:rsidRPr="00F410CB" w:rsidRDefault="0027704E" w:rsidP="0027704E">
                  <w:pPr>
                    <w:ind w:left="0" w:firstLine="0"/>
                    <w:rPr>
                      <w:rFonts w:asciiTheme="minorHAnsi" w:hAnsiTheme="minorHAnsi" w:cstheme="minorHAnsi"/>
                      <w:szCs w:val="24"/>
                    </w:rPr>
                  </w:pPr>
                  <w:proofErr w:type="gramStart"/>
                  <w:r w:rsidRPr="00F410CB">
                    <w:rPr>
                      <w:rFonts w:asciiTheme="minorHAnsi" w:hAnsiTheme="minorHAnsi" w:cstheme="minorHAnsi"/>
                      <w:szCs w:val="24"/>
                    </w:rPr>
                    <w:t>4 year</w:t>
                  </w:r>
                  <w:proofErr w:type="gramEnd"/>
                  <w:r w:rsidRPr="00F410CB">
                    <w:rPr>
                      <w:rFonts w:asciiTheme="minorHAnsi" w:hAnsiTheme="minorHAnsi" w:cstheme="minorHAnsi"/>
                      <w:szCs w:val="24"/>
                    </w:rPr>
                    <w:t xml:space="preserve"> degree with year abroad</w:t>
                  </w:r>
                </w:p>
              </w:tc>
              <w:tc>
                <w:tcPr>
                  <w:tcW w:w="5244" w:type="dxa"/>
                  <w:vAlign w:val="center"/>
                </w:tcPr>
                <w:p w14:paraId="4B1C4BBF" w14:textId="77777777" w:rsidR="0027704E" w:rsidRPr="00F410CB" w:rsidRDefault="0027704E" w:rsidP="0027704E">
                  <w:pPr>
                    <w:ind w:left="0" w:firstLine="0"/>
                    <w:rPr>
                      <w:rFonts w:asciiTheme="minorHAnsi" w:hAnsiTheme="minorHAnsi" w:cstheme="minorHAnsi"/>
                      <w:szCs w:val="24"/>
                    </w:rPr>
                  </w:pPr>
                  <w:r w:rsidRPr="00F410CB">
                    <w:rPr>
                      <w:rFonts w:asciiTheme="minorHAnsi" w:hAnsiTheme="minorHAnsi" w:cstheme="minorHAnsi"/>
                      <w:szCs w:val="24"/>
                    </w:rPr>
                    <w:t>3 x £9,000 plus £1,350 for the year abroad</w:t>
                  </w:r>
                </w:p>
              </w:tc>
              <w:tc>
                <w:tcPr>
                  <w:tcW w:w="3828" w:type="dxa"/>
                  <w:vAlign w:val="center"/>
                </w:tcPr>
                <w:p w14:paraId="1792B648" w14:textId="77777777" w:rsidR="0027704E" w:rsidRPr="00F410CB" w:rsidRDefault="0027704E" w:rsidP="0027704E">
                  <w:pPr>
                    <w:ind w:left="0" w:firstLine="0"/>
                    <w:jc w:val="center"/>
                    <w:rPr>
                      <w:rFonts w:asciiTheme="minorHAnsi" w:hAnsiTheme="minorHAnsi" w:cstheme="minorHAnsi"/>
                      <w:szCs w:val="24"/>
                    </w:rPr>
                  </w:pPr>
                  <w:r w:rsidRPr="00F410CB">
                    <w:rPr>
                      <w:rFonts w:asciiTheme="minorHAnsi" w:hAnsiTheme="minorHAnsi" w:cstheme="minorHAnsi"/>
                      <w:szCs w:val="24"/>
                    </w:rPr>
                    <w:t>£28,350</w:t>
                  </w:r>
                </w:p>
              </w:tc>
            </w:tr>
            <w:tr w:rsidR="0027704E" w:rsidRPr="00F410CB" w14:paraId="74CAB905" w14:textId="77777777" w:rsidTr="0062625C">
              <w:tc>
                <w:tcPr>
                  <w:tcW w:w="5671" w:type="dxa"/>
                  <w:vAlign w:val="center"/>
                </w:tcPr>
                <w:p w14:paraId="0C294342" w14:textId="77777777" w:rsidR="0027704E" w:rsidRPr="00F410CB" w:rsidRDefault="0027704E" w:rsidP="0027704E">
                  <w:pPr>
                    <w:ind w:left="0" w:firstLine="0"/>
                    <w:rPr>
                      <w:rFonts w:asciiTheme="minorHAnsi" w:hAnsiTheme="minorHAnsi" w:cstheme="minorHAnsi"/>
                      <w:szCs w:val="24"/>
                    </w:rPr>
                  </w:pPr>
                  <w:proofErr w:type="gramStart"/>
                  <w:r w:rsidRPr="00F410CB">
                    <w:rPr>
                      <w:rFonts w:asciiTheme="minorHAnsi" w:hAnsiTheme="minorHAnsi" w:cstheme="minorHAnsi"/>
                      <w:szCs w:val="24"/>
                    </w:rPr>
                    <w:t>4 year</w:t>
                  </w:r>
                  <w:proofErr w:type="gramEnd"/>
                  <w:r w:rsidRPr="00F410CB">
                    <w:rPr>
                      <w:rFonts w:asciiTheme="minorHAnsi" w:hAnsiTheme="minorHAnsi" w:cstheme="minorHAnsi"/>
                      <w:szCs w:val="24"/>
                    </w:rPr>
                    <w:t xml:space="preserve"> degree with year in industry</w:t>
                  </w:r>
                </w:p>
              </w:tc>
              <w:tc>
                <w:tcPr>
                  <w:tcW w:w="5244" w:type="dxa"/>
                  <w:vAlign w:val="center"/>
                </w:tcPr>
                <w:p w14:paraId="2605FF8A" w14:textId="77777777" w:rsidR="0027704E" w:rsidRPr="00F410CB" w:rsidRDefault="0027704E" w:rsidP="0027704E">
                  <w:pPr>
                    <w:ind w:left="0" w:firstLine="0"/>
                    <w:rPr>
                      <w:rFonts w:asciiTheme="minorHAnsi" w:hAnsiTheme="minorHAnsi" w:cstheme="minorHAnsi"/>
                      <w:szCs w:val="24"/>
                    </w:rPr>
                  </w:pPr>
                  <w:r w:rsidRPr="00F410CB">
                    <w:rPr>
                      <w:rFonts w:asciiTheme="minorHAnsi" w:hAnsiTheme="minorHAnsi" w:cstheme="minorHAnsi"/>
                      <w:szCs w:val="24"/>
                    </w:rPr>
                    <w:t>3 x £9,000 plus £1,800 for the year in industry</w:t>
                  </w:r>
                </w:p>
              </w:tc>
              <w:tc>
                <w:tcPr>
                  <w:tcW w:w="3828" w:type="dxa"/>
                  <w:vAlign w:val="center"/>
                </w:tcPr>
                <w:p w14:paraId="4F290C53" w14:textId="77777777" w:rsidR="0027704E" w:rsidRPr="00F410CB" w:rsidRDefault="0027704E" w:rsidP="0027704E">
                  <w:pPr>
                    <w:ind w:left="0" w:firstLine="0"/>
                    <w:jc w:val="center"/>
                    <w:rPr>
                      <w:rFonts w:asciiTheme="minorHAnsi" w:hAnsiTheme="minorHAnsi" w:cstheme="minorHAnsi"/>
                      <w:szCs w:val="24"/>
                    </w:rPr>
                  </w:pPr>
                  <w:r w:rsidRPr="00F410CB">
                    <w:rPr>
                      <w:rFonts w:asciiTheme="minorHAnsi" w:hAnsiTheme="minorHAnsi" w:cstheme="minorHAnsi"/>
                      <w:szCs w:val="24"/>
                    </w:rPr>
                    <w:t>£28,800</w:t>
                  </w:r>
                </w:p>
              </w:tc>
            </w:tr>
            <w:tr w:rsidR="0027704E" w:rsidRPr="00F410CB" w14:paraId="24E4B4CB" w14:textId="77777777" w:rsidTr="0062625C">
              <w:tc>
                <w:tcPr>
                  <w:tcW w:w="5671" w:type="dxa"/>
                  <w:vAlign w:val="center"/>
                </w:tcPr>
                <w:p w14:paraId="2028F219" w14:textId="77777777" w:rsidR="0027704E" w:rsidRPr="00F410CB" w:rsidRDefault="0027704E" w:rsidP="0027704E">
                  <w:pPr>
                    <w:ind w:left="0" w:firstLine="0"/>
                    <w:rPr>
                      <w:rFonts w:asciiTheme="minorHAnsi" w:hAnsiTheme="minorHAnsi" w:cstheme="minorHAnsi"/>
                      <w:szCs w:val="24"/>
                    </w:rPr>
                  </w:pPr>
                  <w:proofErr w:type="gramStart"/>
                  <w:r w:rsidRPr="00F410CB">
                    <w:rPr>
                      <w:rFonts w:asciiTheme="minorHAnsi" w:hAnsiTheme="minorHAnsi" w:cstheme="minorHAnsi"/>
                      <w:szCs w:val="24"/>
                    </w:rPr>
                    <w:t>4 year</w:t>
                  </w:r>
                  <w:proofErr w:type="gramEnd"/>
                  <w:r w:rsidRPr="00F410CB">
                    <w:rPr>
                      <w:rFonts w:asciiTheme="minorHAnsi" w:hAnsiTheme="minorHAnsi" w:cstheme="minorHAnsi"/>
                      <w:szCs w:val="24"/>
                    </w:rPr>
                    <w:t xml:space="preserve"> degree</w:t>
                  </w:r>
                </w:p>
              </w:tc>
              <w:tc>
                <w:tcPr>
                  <w:tcW w:w="5244" w:type="dxa"/>
                  <w:vAlign w:val="center"/>
                </w:tcPr>
                <w:p w14:paraId="5DDC7788" w14:textId="77777777" w:rsidR="0027704E" w:rsidRPr="00F410CB" w:rsidRDefault="0027704E" w:rsidP="0027704E">
                  <w:pPr>
                    <w:ind w:left="0" w:firstLine="0"/>
                    <w:rPr>
                      <w:rFonts w:asciiTheme="minorHAnsi" w:hAnsiTheme="minorHAnsi" w:cstheme="minorHAnsi"/>
                      <w:szCs w:val="24"/>
                    </w:rPr>
                  </w:pPr>
                  <w:r w:rsidRPr="00F410CB">
                    <w:rPr>
                      <w:rFonts w:asciiTheme="minorHAnsi" w:hAnsiTheme="minorHAnsi" w:cstheme="minorHAnsi"/>
                      <w:szCs w:val="24"/>
                    </w:rPr>
                    <w:t>4 x £9,000</w:t>
                  </w:r>
                </w:p>
              </w:tc>
              <w:tc>
                <w:tcPr>
                  <w:tcW w:w="3828" w:type="dxa"/>
                  <w:vAlign w:val="center"/>
                </w:tcPr>
                <w:p w14:paraId="6DE27D10" w14:textId="77777777" w:rsidR="0027704E" w:rsidRPr="00F410CB" w:rsidRDefault="0027704E" w:rsidP="0027704E">
                  <w:pPr>
                    <w:ind w:left="0" w:firstLine="0"/>
                    <w:jc w:val="center"/>
                    <w:rPr>
                      <w:rFonts w:asciiTheme="minorHAnsi" w:hAnsiTheme="minorHAnsi" w:cstheme="minorHAnsi"/>
                      <w:szCs w:val="24"/>
                    </w:rPr>
                  </w:pPr>
                  <w:r w:rsidRPr="00F410CB">
                    <w:rPr>
                      <w:rFonts w:asciiTheme="minorHAnsi" w:hAnsiTheme="minorHAnsi" w:cstheme="minorHAnsi"/>
                      <w:szCs w:val="24"/>
                    </w:rPr>
                    <w:t>£36,000</w:t>
                  </w:r>
                </w:p>
              </w:tc>
            </w:tr>
            <w:tr w:rsidR="0027704E" w:rsidRPr="00F410CB" w14:paraId="0451CA19" w14:textId="77777777" w:rsidTr="0062625C">
              <w:tc>
                <w:tcPr>
                  <w:tcW w:w="5671" w:type="dxa"/>
                  <w:vAlign w:val="center"/>
                </w:tcPr>
                <w:p w14:paraId="74F88B76" w14:textId="77777777" w:rsidR="0027704E" w:rsidRPr="00F410CB" w:rsidRDefault="0027704E" w:rsidP="0027704E">
                  <w:pPr>
                    <w:ind w:left="0" w:firstLine="0"/>
                    <w:rPr>
                      <w:rFonts w:asciiTheme="minorHAnsi" w:hAnsiTheme="minorHAnsi" w:cstheme="minorHAnsi"/>
                      <w:szCs w:val="24"/>
                    </w:rPr>
                  </w:pPr>
                  <w:r w:rsidRPr="00F410CB">
                    <w:rPr>
                      <w:rFonts w:asciiTheme="minorHAnsi" w:hAnsiTheme="minorHAnsi" w:cstheme="minorHAnsi"/>
                      <w:szCs w:val="24"/>
                    </w:rPr>
                    <w:t>Foundation Degree</w:t>
                  </w:r>
                </w:p>
              </w:tc>
              <w:tc>
                <w:tcPr>
                  <w:tcW w:w="5244" w:type="dxa"/>
                  <w:vAlign w:val="center"/>
                </w:tcPr>
                <w:p w14:paraId="7E0B2526" w14:textId="77777777" w:rsidR="0027704E" w:rsidRPr="00F410CB" w:rsidRDefault="0027704E" w:rsidP="0027704E">
                  <w:pPr>
                    <w:ind w:left="0" w:firstLine="0"/>
                    <w:rPr>
                      <w:rFonts w:asciiTheme="minorHAnsi" w:hAnsiTheme="minorHAnsi" w:cstheme="minorHAnsi"/>
                      <w:szCs w:val="24"/>
                    </w:rPr>
                  </w:pPr>
                  <w:r w:rsidRPr="00F410CB">
                    <w:rPr>
                      <w:rFonts w:asciiTheme="minorHAnsi" w:hAnsiTheme="minorHAnsi" w:cstheme="minorHAnsi"/>
                      <w:szCs w:val="24"/>
                    </w:rPr>
                    <w:t>2 x £7,500 per annum</w:t>
                  </w:r>
                </w:p>
              </w:tc>
              <w:tc>
                <w:tcPr>
                  <w:tcW w:w="3828" w:type="dxa"/>
                  <w:vAlign w:val="center"/>
                </w:tcPr>
                <w:p w14:paraId="0C9D299B" w14:textId="77777777" w:rsidR="0027704E" w:rsidRPr="00F410CB" w:rsidRDefault="0027704E" w:rsidP="0027704E">
                  <w:pPr>
                    <w:ind w:left="0" w:firstLine="0"/>
                    <w:jc w:val="center"/>
                    <w:rPr>
                      <w:rFonts w:asciiTheme="minorHAnsi" w:hAnsiTheme="minorHAnsi" w:cstheme="minorHAnsi"/>
                      <w:szCs w:val="24"/>
                    </w:rPr>
                  </w:pPr>
                  <w:r w:rsidRPr="00F410CB">
                    <w:rPr>
                      <w:rFonts w:asciiTheme="minorHAnsi" w:hAnsiTheme="minorHAnsi" w:cstheme="minorHAnsi"/>
                      <w:szCs w:val="24"/>
                    </w:rPr>
                    <w:t>£15,000</w:t>
                  </w:r>
                </w:p>
              </w:tc>
            </w:tr>
          </w:tbl>
          <w:p w14:paraId="50C2C9B1" w14:textId="77777777" w:rsidR="0027704E" w:rsidRPr="00F410CB" w:rsidRDefault="0027704E" w:rsidP="0027704E">
            <w:pPr>
              <w:ind w:left="0" w:firstLine="179"/>
              <w:jc w:val="both"/>
              <w:rPr>
                <w:rFonts w:asciiTheme="minorHAnsi" w:hAnsiTheme="minorHAnsi" w:cstheme="minorHAnsi"/>
                <w:sz w:val="20"/>
              </w:rPr>
            </w:pPr>
            <w:r w:rsidRPr="00F410CB">
              <w:rPr>
                <w:rFonts w:asciiTheme="minorHAnsi" w:hAnsiTheme="minorHAnsi" w:cstheme="minorHAnsi"/>
                <w:sz w:val="20"/>
              </w:rPr>
              <w:t>*</w:t>
            </w:r>
            <w:proofErr w:type="gramStart"/>
            <w:r w:rsidRPr="00F410CB">
              <w:rPr>
                <w:rFonts w:asciiTheme="minorHAnsi" w:hAnsiTheme="minorHAnsi" w:cstheme="minorHAnsi"/>
                <w:sz w:val="20"/>
              </w:rPr>
              <w:t>does</w:t>
            </w:r>
            <w:proofErr w:type="gramEnd"/>
            <w:r w:rsidRPr="00F410CB">
              <w:rPr>
                <w:rFonts w:asciiTheme="minorHAnsi" w:hAnsiTheme="minorHAnsi" w:cstheme="minorHAnsi"/>
                <w:sz w:val="20"/>
              </w:rPr>
              <w:t xml:space="preserve"> not include additional cost incurred from studying particular courses (see below).</w:t>
            </w:r>
          </w:p>
          <w:p w14:paraId="5BC0765F" w14:textId="77777777" w:rsidR="0027704E" w:rsidRPr="00F410CB" w:rsidRDefault="0027704E" w:rsidP="0027704E">
            <w:pPr>
              <w:ind w:left="0" w:firstLine="0"/>
              <w:jc w:val="both"/>
              <w:rPr>
                <w:rFonts w:asciiTheme="minorHAnsi" w:hAnsiTheme="minorHAnsi" w:cstheme="minorHAnsi"/>
                <w:szCs w:val="24"/>
              </w:rPr>
            </w:pPr>
          </w:p>
          <w:p w14:paraId="018A0A02" w14:textId="77777777" w:rsidR="0027704E" w:rsidRPr="00F410CB" w:rsidRDefault="0027704E" w:rsidP="0027704E">
            <w:pPr>
              <w:ind w:left="0" w:firstLine="0"/>
              <w:jc w:val="both"/>
              <w:rPr>
                <w:rFonts w:asciiTheme="minorHAnsi" w:hAnsiTheme="minorHAnsi" w:cstheme="minorHAnsi"/>
                <w:szCs w:val="24"/>
              </w:rPr>
            </w:pPr>
            <w:r w:rsidRPr="00F410CB">
              <w:rPr>
                <w:rFonts w:asciiTheme="minorHAnsi" w:hAnsiTheme="minorHAnsi" w:cstheme="minorHAnsi"/>
                <w:szCs w:val="24"/>
              </w:rPr>
              <w:t xml:space="preserve">Regardless of the fee level, we will… </w:t>
            </w:r>
          </w:p>
          <w:p w14:paraId="27AEACFE" w14:textId="77777777" w:rsidR="0027704E" w:rsidRPr="00F410CB" w:rsidRDefault="0027704E" w:rsidP="0027704E">
            <w:pPr>
              <w:ind w:left="0" w:firstLine="0"/>
              <w:jc w:val="both"/>
              <w:rPr>
                <w:rFonts w:asciiTheme="minorHAnsi" w:hAnsiTheme="minorHAnsi" w:cstheme="minorHAnsi"/>
                <w:szCs w:val="24"/>
              </w:rPr>
            </w:pPr>
          </w:p>
          <w:p w14:paraId="732F63F0" w14:textId="00060528" w:rsidR="0027704E" w:rsidRPr="00F410CB" w:rsidRDefault="0027704E" w:rsidP="0027704E">
            <w:pPr>
              <w:pStyle w:val="ListParagraph"/>
              <w:numPr>
                <w:ilvl w:val="0"/>
                <w:numId w:val="31"/>
              </w:numPr>
              <w:jc w:val="both"/>
              <w:rPr>
                <w:rFonts w:asciiTheme="minorHAnsi" w:hAnsiTheme="minorHAnsi" w:cstheme="minorHAnsi"/>
                <w:szCs w:val="24"/>
              </w:rPr>
            </w:pPr>
            <w:r w:rsidRPr="00F410CB">
              <w:rPr>
                <w:rFonts w:asciiTheme="minorHAnsi" w:hAnsiTheme="minorHAnsi" w:cstheme="minorHAnsi"/>
                <w:szCs w:val="24"/>
              </w:rPr>
              <w:t xml:space="preserve">Write to all students applying for entry from </w:t>
            </w:r>
            <w:r w:rsidRPr="00F410CB">
              <w:rPr>
                <w:rFonts w:asciiTheme="minorHAnsi" w:hAnsiTheme="minorHAnsi" w:cstheme="minorHAnsi"/>
                <w:iCs/>
                <w:szCs w:val="24"/>
              </w:rPr>
              <w:t>202</w:t>
            </w:r>
            <w:r w:rsidR="00ED324E">
              <w:rPr>
                <w:rFonts w:asciiTheme="minorHAnsi" w:hAnsiTheme="minorHAnsi" w:cstheme="minorHAnsi"/>
                <w:iCs/>
                <w:szCs w:val="24"/>
              </w:rPr>
              <w:t>2</w:t>
            </w:r>
            <w:r w:rsidRPr="00F410CB">
              <w:rPr>
                <w:rFonts w:asciiTheme="minorHAnsi" w:hAnsiTheme="minorHAnsi" w:cstheme="minorHAnsi"/>
                <w:iCs/>
                <w:szCs w:val="24"/>
              </w:rPr>
              <w:t>-2</w:t>
            </w:r>
            <w:r w:rsidR="00ED324E">
              <w:rPr>
                <w:rFonts w:asciiTheme="minorHAnsi" w:hAnsiTheme="minorHAnsi" w:cstheme="minorHAnsi"/>
                <w:iCs/>
                <w:szCs w:val="24"/>
              </w:rPr>
              <w:t>3</w:t>
            </w:r>
            <w:r w:rsidRPr="00F410CB">
              <w:rPr>
                <w:rFonts w:asciiTheme="minorHAnsi" w:hAnsiTheme="minorHAnsi" w:cstheme="minorHAnsi"/>
                <w:szCs w:val="24"/>
              </w:rPr>
              <w:t xml:space="preserve"> to notify them of the fees, the arrangements for paying fees and the support available to them. </w:t>
            </w:r>
          </w:p>
          <w:p w14:paraId="7C19E775" w14:textId="77777777" w:rsidR="0027704E" w:rsidRPr="00F410CB" w:rsidRDefault="0027704E" w:rsidP="0027704E">
            <w:pPr>
              <w:pStyle w:val="ListParagraph"/>
              <w:numPr>
                <w:ilvl w:val="0"/>
                <w:numId w:val="31"/>
              </w:numPr>
              <w:jc w:val="both"/>
              <w:rPr>
                <w:rFonts w:asciiTheme="minorHAnsi" w:hAnsiTheme="minorHAnsi" w:cstheme="minorHAnsi"/>
                <w:szCs w:val="24"/>
              </w:rPr>
            </w:pPr>
            <w:r w:rsidRPr="00F410CB">
              <w:rPr>
                <w:rFonts w:asciiTheme="minorHAnsi" w:hAnsiTheme="minorHAnsi" w:cstheme="minorHAnsi"/>
                <w:szCs w:val="24"/>
              </w:rPr>
              <w:t xml:space="preserve">We will provide information on fee levels for each year of the programme of study (in order to calculate the aggregate fee for the entire programme). </w:t>
            </w:r>
          </w:p>
          <w:p w14:paraId="08D16014" w14:textId="32924177" w:rsidR="0027704E" w:rsidRPr="00F410CB" w:rsidRDefault="0027704E" w:rsidP="0027704E">
            <w:pPr>
              <w:pStyle w:val="ListParagraph"/>
              <w:numPr>
                <w:ilvl w:val="0"/>
                <w:numId w:val="31"/>
              </w:numPr>
              <w:jc w:val="both"/>
              <w:rPr>
                <w:rFonts w:asciiTheme="minorHAnsi" w:hAnsiTheme="minorHAnsi" w:cstheme="minorHAnsi"/>
                <w:szCs w:val="24"/>
              </w:rPr>
            </w:pPr>
            <w:r w:rsidRPr="00F410CB">
              <w:rPr>
                <w:rFonts w:asciiTheme="minorHAnsi" w:hAnsiTheme="minorHAnsi" w:cstheme="minorHAnsi"/>
                <w:szCs w:val="24"/>
              </w:rPr>
              <w:t>We will also write to students applying to Swansea University for entry in 202</w:t>
            </w:r>
            <w:r w:rsidR="00ED324E">
              <w:rPr>
                <w:rFonts w:asciiTheme="minorHAnsi" w:hAnsiTheme="minorHAnsi" w:cstheme="minorHAnsi"/>
                <w:szCs w:val="24"/>
              </w:rPr>
              <w:t>2</w:t>
            </w:r>
            <w:r w:rsidRPr="00F410CB">
              <w:rPr>
                <w:rFonts w:asciiTheme="minorHAnsi" w:hAnsiTheme="minorHAnsi" w:cstheme="minorHAnsi"/>
                <w:szCs w:val="24"/>
              </w:rPr>
              <w:t>-2</w:t>
            </w:r>
            <w:r w:rsidR="00ED324E">
              <w:rPr>
                <w:rFonts w:asciiTheme="minorHAnsi" w:hAnsiTheme="minorHAnsi" w:cstheme="minorHAnsi"/>
                <w:szCs w:val="24"/>
              </w:rPr>
              <w:t>3</w:t>
            </w:r>
            <w:r w:rsidRPr="00F410CB">
              <w:rPr>
                <w:rFonts w:asciiTheme="minorHAnsi" w:hAnsiTheme="minorHAnsi" w:cstheme="minorHAnsi"/>
                <w:szCs w:val="24"/>
              </w:rPr>
              <w:t xml:space="preserve"> deferred from the previous year to notify them of the fees.</w:t>
            </w:r>
          </w:p>
          <w:p w14:paraId="635F9A62" w14:textId="77777777" w:rsidR="0027704E" w:rsidRPr="00F410CB" w:rsidRDefault="0027704E" w:rsidP="0027704E">
            <w:pPr>
              <w:pStyle w:val="ListParagraph"/>
              <w:numPr>
                <w:ilvl w:val="0"/>
                <w:numId w:val="31"/>
              </w:numPr>
              <w:jc w:val="both"/>
              <w:rPr>
                <w:rFonts w:asciiTheme="minorHAnsi" w:hAnsiTheme="minorHAnsi" w:cstheme="minorHAnsi"/>
                <w:szCs w:val="24"/>
              </w:rPr>
            </w:pPr>
            <w:r w:rsidRPr="00F410CB">
              <w:rPr>
                <w:rFonts w:asciiTheme="minorHAnsi" w:hAnsiTheme="minorHAnsi" w:cstheme="minorHAnsi"/>
                <w:szCs w:val="24"/>
              </w:rPr>
              <w:t xml:space="preserve">We will also write to current students who may be affected by fee changes if they choose to move to another course or have to re-sit to provide them with the appropriate information. </w:t>
            </w:r>
          </w:p>
          <w:p w14:paraId="65B28781" w14:textId="77777777" w:rsidR="0027704E" w:rsidRPr="00F410CB" w:rsidRDefault="0027704E" w:rsidP="0027704E">
            <w:pPr>
              <w:pStyle w:val="ListParagraph"/>
              <w:numPr>
                <w:ilvl w:val="0"/>
                <w:numId w:val="31"/>
              </w:numPr>
              <w:jc w:val="both"/>
              <w:rPr>
                <w:rFonts w:asciiTheme="minorHAnsi" w:hAnsiTheme="minorHAnsi" w:cstheme="minorHAnsi"/>
                <w:b/>
                <w:szCs w:val="24"/>
              </w:rPr>
            </w:pPr>
            <w:r w:rsidRPr="00F410CB">
              <w:rPr>
                <w:rFonts w:ascii="Calibri" w:hAnsi="Calibri" w:cs="Calibri"/>
                <w:b/>
                <w:szCs w:val="24"/>
                <w:lang w:eastAsia="en-US"/>
              </w:rPr>
              <w:t xml:space="preserve">Fee information and associated costs </w:t>
            </w:r>
            <w:r w:rsidRPr="00F410CB">
              <w:rPr>
                <w:rFonts w:ascii="Calibri" w:hAnsi="Calibri" w:cs="Calibri"/>
                <w:b/>
                <w:color w:val="0070C0"/>
                <w:szCs w:val="24"/>
                <w:lang w:eastAsia="en-US"/>
              </w:rPr>
              <w:t xml:space="preserve">can be found </w:t>
            </w:r>
            <w:hyperlink r:id="rId9" w:history="1">
              <w:r w:rsidRPr="00F410CB">
                <w:rPr>
                  <w:rFonts w:ascii="Calibri" w:hAnsi="Calibri" w:cs="Calibri"/>
                  <w:b/>
                  <w:color w:val="0070C0"/>
                  <w:szCs w:val="24"/>
                  <w:u w:val="single"/>
                  <w:lang w:eastAsia="en-US"/>
                </w:rPr>
                <w:t>here</w:t>
              </w:r>
            </w:hyperlink>
          </w:p>
          <w:p w14:paraId="0D053AE8" w14:textId="77777777" w:rsidR="0027704E" w:rsidRPr="00F410CB" w:rsidRDefault="0027704E" w:rsidP="0027704E">
            <w:pPr>
              <w:ind w:left="0" w:firstLine="0"/>
              <w:jc w:val="both"/>
              <w:rPr>
                <w:rFonts w:asciiTheme="minorHAnsi" w:hAnsiTheme="minorHAnsi" w:cstheme="minorHAnsi"/>
                <w:szCs w:val="24"/>
              </w:rPr>
            </w:pPr>
          </w:p>
          <w:p w14:paraId="1CB17DFF" w14:textId="77777777" w:rsidR="0027704E" w:rsidRPr="00F410CB" w:rsidRDefault="0027704E" w:rsidP="0027704E">
            <w:pPr>
              <w:ind w:left="0" w:firstLine="0"/>
              <w:jc w:val="both"/>
              <w:rPr>
                <w:rFonts w:asciiTheme="minorHAnsi" w:hAnsiTheme="minorHAnsi" w:cstheme="minorHAnsi"/>
                <w:szCs w:val="24"/>
              </w:rPr>
            </w:pPr>
            <w:r w:rsidRPr="00F410CB">
              <w:rPr>
                <w:rFonts w:asciiTheme="minorHAnsi" w:hAnsiTheme="minorHAnsi" w:cstheme="minorHAnsi"/>
                <w:szCs w:val="24"/>
              </w:rPr>
              <w:t xml:space="preserve">In addition to Tuition Fee charges and living costs, certain programmes (or modules) may attract further </w:t>
            </w:r>
            <w:r w:rsidRPr="00F410CB">
              <w:rPr>
                <w:rFonts w:asciiTheme="minorHAnsi" w:hAnsiTheme="minorHAnsi" w:cstheme="minorHAnsi"/>
                <w:b/>
                <w:szCs w:val="24"/>
              </w:rPr>
              <w:t>additional mandatory or optional costs</w:t>
            </w:r>
            <w:r w:rsidRPr="00F410CB">
              <w:rPr>
                <w:rFonts w:asciiTheme="minorHAnsi" w:hAnsiTheme="minorHAnsi" w:cstheme="minorHAnsi"/>
                <w:szCs w:val="24"/>
              </w:rPr>
              <w:t xml:space="preserve"> necessary for students to fully participate and complete their program of choice.  </w:t>
            </w:r>
          </w:p>
          <w:p w14:paraId="603B5D73" w14:textId="77777777" w:rsidR="0027704E" w:rsidRPr="00F410CB" w:rsidRDefault="0027704E" w:rsidP="0027704E">
            <w:pPr>
              <w:ind w:left="0" w:firstLine="0"/>
              <w:jc w:val="both"/>
              <w:rPr>
                <w:rFonts w:asciiTheme="minorHAnsi" w:hAnsiTheme="minorHAnsi" w:cstheme="minorHAnsi"/>
                <w:szCs w:val="24"/>
              </w:rPr>
            </w:pPr>
          </w:p>
          <w:p w14:paraId="77DFA1A7" w14:textId="607CFF5C" w:rsidR="00E159E2" w:rsidRPr="00343B5C" w:rsidRDefault="0027704E" w:rsidP="0027704E">
            <w:pPr>
              <w:spacing w:after="120"/>
              <w:ind w:left="0" w:firstLine="0"/>
            </w:pPr>
            <w:r w:rsidRPr="00F410CB">
              <w:rPr>
                <w:rFonts w:asciiTheme="minorHAnsi" w:hAnsiTheme="minorHAnsi" w:cstheme="minorHAnsi"/>
                <w:szCs w:val="24"/>
              </w:rPr>
              <w:lastRenderedPageBreak/>
              <w:t>Students will need to budget for these costs separately as they a</w:t>
            </w:r>
            <w:r>
              <w:rPr>
                <w:rFonts w:asciiTheme="minorHAnsi" w:hAnsiTheme="minorHAnsi" w:cstheme="minorHAnsi"/>
                <w:szCs w:val="24"/>
              </w:rPr>
              <w:t>re not included in the overall tuition f</w:t>
            </w:r>
            <w:r w:rsidRPr="00F410CB">
              <w:rPr>
                <w:rFonts w:asciiTheme="minorHAnsi" w:hAnsiTheme="minorHAnsi" w:cstheme="minorHAnsi"/>
                <w:szCs w:val="24"/>
              </w:rPr>
              <w:t xml:space="preserve">ee charged.  Such costs can include fieldwork trips, travelling expenses for work or study placements, laboratory and equipment costs or CRB/DBS checks specific to the program. The University and its franchised partners will continue to strive to minimise the number and scale of any additional </w:t>
            </w:r>
            <w:proofErr w:type="gramStart"/>
            <w:r w:rsidRPr="00F410CB">
              <w:rPr>
                <w:rFonts w:asciiTheme="minorHAnsi" w:hAnsiTheme="minorHAnsi" w:cstheme="minorHAnsi"/>
                <w:szCs w:val="24"/>
              </w:rPr>
              <w:t>costs</w:t>
            </w:r>
            <w:proofErr w:type="gramEnd"/>
            <w:r w:rsidRPr="00F410CB">
              <w:rPr>
                <w:rFonts w:asciiTheme="minorHAnsi" w:hAnsiTheme="minorHAnsi" w:cstheme="minorHAnsi"/>
                <w:szCs w:val="24"/>
              </w:rPr>
              <w:t xml:space="preserve"> but </w:t>
            </w:r>
            <w:r w:rsidRPr="00F410CB">
              <w:rPr>
                <w:rFonts w:asciiTheme="minorHAnsi" w:hAnsiTheme="minorHAnsi" w:cstheme="minorHAnsi"/>
                <w:b/>
                <w:szCs w:val="24"/>
              </w:rPr>
              <w:t>details of any additional costs will be published on individual programme web pages and will be included in the programme information sent to applicants at the point of offer.</w:t>
            </w:r>
            <w:r w:rsidRPr="00F410CB">
              <w:rPr>
                <w:rFonts w:asciiTheme="minorHAnsi" w:hAnsiTheme="minorHAnsi" w:cstheme="minorHAnsi"/>
                <w:szCs w:val="24"/>
              </w:rPr>
              <w:t xml:space="preserve"> More information on our website can </w:t>
            </w:r>
            <w:r w:rsidRPr="00F410CB">
              <w:rPr>
                <w:rFonts w:asciiTheme="minorHAnsi" w:hAnsiTheme="minorHAnsi" w:cstheme="minorHAnsi"/>
                <w:b/>
                <w:color w:val="0070C0"/>
                <w:szCs w:val="24"/>
              </w:rPr>
              <w:t xml:space="preserve">be found </w:t>
            </w:r>
            <w:hyperlink r:id="rId10" w:history="1">
              <w:r w:rsidRPr="00F410CB">
                <w:rPr>
                  <w:rStyle w:val="Hyperlink"/>
                  <w:rFonts w:asciiTheme="minorHAnsi" w:hAnsiTheme="minorHAnsi" w:cstheme="minorHAnsi"/>
                  <w:b/>
                  <w:color w:val="0070C0"/>
                  <w:szCs w:val="24"/>
                </w:rPr>
                <w:t>here</w:t>
              </w:r>
            </w:hyperlink>
            <w:r w:rsidRPr="00F410CB">
              <w:rPr>
                <w:rFonts w:asciiTheme="minorHAnsi" w:hAnsiTheme="minorHAnsi" w:cstheme="minorHAnsi"/>
                <w:b/>
                <w:color w:val="0070C0"/>
                <w:szCs w:val="24"/>
              </w:rPr>
              <w:t>.</w:t>
            </w:r>
          </w:p>
        </w:tc>
      </w:tr>
      <w:tr w:rsidR="00E159E2" w:rsidRPr="00343B5C" w14:paraId="08151CFD" w14:textId="77777777" w:rsidTr="00215C7B">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82FEE" w14:textId="77777777" w:rsidR="00E159E2" w:rsidRPr="00343B5C" w:rsidRDefault="00E159E2" w:rsidP="00E159E2">
            <w:pPr>
              <w:pStyle w:val="Heading2"/>
              <w:jc w:val="center"/>
              <w:rPr>
                <w:b/>
              </w:rPr>
            </w:pPr>
            <w:r w:rsidRPr="00343B5C">
              <w:rPr>
                <w:b/>
              </w:rPr>
              <w:lastRenderedPageBreak/>
              <w:t>Section 2 - Student Partnership</w:t>
            </w:r>
          </w:p>
          <w:p w14:paraId="7343B8CA" w14:textId="0F16B6C5" w:rsidR="00E159E2" w:rsidRPr="00343B5C" w:rsidRDefault="00E159E2" w:rsidP="007A3A8D"/>
        </w:tc>
      </w:tr>
      <w:tr w:rsidR="0027704E" w:rsidRPr="00343B5C" w14:paraId="72066497" w14:textId="77777777" w:rsidTr="0027704E">
        <w:trPr>
          <w:trHeight w:val="2859"/>
        </w:trPr>
        <w:tc>
          <w:tcPr>
            <w:tcW w:w="15168" w:type="dxa"/>
            <w:gridSpan w:val="4"/>
            <w:tcBorders>
              <w:top w:val="single" w:sz="4" w:space="0" w:color="auto"/>
              <w:left w:val="single" w:sz="4" w:space="0" w:color="auto"/>
              <w:bottom w:val="single" w:sz="4" w:space="0" w:color="auto"/>
              <w:right w:val="single" w:sz="4" w:space="0" w:color="auto"/>
            </w:tcBorders>
            <w:vAlign w:val="center"/>
          </w:tcPr>
          <w:p w14:paraId="28912137" w14:textId="24462D29"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r w:rsidRPr="00EE022A">
              <w:rPr>
                <w:rFonts w:ascii="Calibri" w:hAnsi="Calibri" w:cs="Calibri"/>
                <w:b/>
                <w:color w:val="000000" w:themeColor="text1"/>
              </w:rPr>
              <w:t>Student Union Officers</w:t>
            </w:r>
            <w:r w:rsidRPr="0027704E">
              <w:rPr>
                <w:rFonts w:ascii="Calibri" w:hAnsi="Calibri" w:cs="Calibri"/>
                <w:bCs/>
                <w:color w:val="000000" w:themeColor="text1"/>
              </w:rPr>
              <w:t xml:space="preserve"> inform and steer the development of Fee &amp; Access plan</w:t>
            </w:r>
            <w:r>
              <w:rPr>
                <w:rFonts w:ascii="Calibri" w:hAnsi="Calibri" w:cs="Calibri"/>
                <w:bCs/>
                <w:color w:val="000000" w:themeColor="text1"/>
              </w:rPr>
              <w:t>s</w:t>
            </w:r>
            <w:r w:rsidRPr="0027704E">
              <w:rPr>
                <w:rFonts w:ascii="Calibri" w:hAnsi="Calibri" w:cs="Calibri"/>
                <w:bCs/>
                <w:color w:val="000000" w:themeColor="text1"/>
              </w:rPr>
              <w:t>. The Students’ Union (SU) review the first draft of plan</w:t>
            </w:r>
            <w:r>
              <w:rPr>
                <w:rFonts w:ascii="Calibri" w:hAnsi="Calibri" w:cs="Calibri"/>
                <w:bCs/>
                <w:color w:val="000000" w:themeColor="text1"/>
              </w:rPr>
              <w:t>s</w:t>
            </w:r>
            <w:r w:rsidRPr="0027704E">
              <w:rPr>
                <w:rFonts w:ascii="Calibri" w:hAnsi="Calibri" w:cs="Calibri"/>
                <w:bCs/>
                <w:color w:val="000000" w:themeColor="text1"/>
              </w:rPr>
              <w:t xml:space="preserve"> and subsequent iterations following HEFCW feedback. SU Officers will also play a role in endorsing the plan when it is submitted for Senior Leadership Team/Council approval. In addition, the SU President is a member of Council and will endorse the plan for ultimate approval.</w:t>
            </w:r>
          </w:p>
          <w:p w14:paraId="62B4108C"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bCs/>
                <w:color w:val="000000" w:themeColor="text1"/>
              </w:rPr>
              <w:t> </w:t>
            </w:r>
          </w:p>
          <w:p w14:paraId="30EBB555" w14:textId="77777777" w:rsidR="0027704E" w:rsidRPr="0027704E" w:rsidRDefault="0027704E" w:rsidP="0027704E">
            <w:pPr>
              <w:pStyle w:val="NormalWeb"/>
              <w:shd w:val="clear" w:color="auto" w:fill="FFFFFF"/>
              <w:spacing w:before="0" w:beforeAutospacing="0" w:after="0" w:afterAutospacing="0"/>
              <w:rPr>
                <w:rFonts w:ascii="Calibri" w:hAnsi="Calibri" w:cs="Calibri"/>
                <w:bCs/>
                <w:color w:val="000000" w:themeColor="text1"/>
              </w:rPr>
            </w:pPr>
            <w:r w:rsidRPr="0027704E">
              <w:rPr>
                <w:rFonts w:ascii="Calibri" w:hAnsi="Calibri" w:cs="Calibri"/>
                <w:bCs/>
                <w:color w:val="000000" w:themeColor="text1"/>
              </w:rPr>
              <w:t xml:space="preserve">All the Student Union Full Time Officers and their Student Voice Team are key members of the </w:t>
            </w:r>
            <w:r w:rsidRPr="0027704E">
              <w:rPr>
                <w:rFonts w:ascii="Calibri" w:hAnsi="Calibri" w:cs="Calibri"/>
                <w:b/>
                <w:bCs/>
                <w:color w:val="000000" w:themeColor="text1"/>
              </w:rPr>
              <w:t>Student Partnership and Engagement Committee</w:t>
            </w:r>
            <w:r w:rsidRPr="0027704E">
              <w:rPr>
                <w:rFonts w:ascii="Calibri" w:hAnsi="Calibri" w:cs="Calibri"/>
                <w:bCs/>
                <w:color w:val="000000" w:themeColor="text1"/>
              </w:rPr>
              <w:t xml:space="preserve">, a key University Committee, where strategies and projects are discussed and approved. This Committee reports into the University Senior Leadership Team </w:t>
            </w:r>
            <w:proofErr w:type="gramStart"/>
            <w:r w:rsidRPr="0027704E">
              <w:rPr>
                <w:rFonts w:ascii="Calibri" w:hAnsi="Calibri" w:cs="Calibri"/>
                <w:bCs/>
                <w:color w:val="000000" w:themeColor="text1"/>
              </w:rPr>
              <w:t>and also</w:t>
            </w:r>
            <w:proofErr w:type="gramEnd"/>
            <w:r w:rsidRPr="0027704E">
              <w:rPr>
                <w:rFonts w:ascii="Calibri" w:hAnsi="Calibri" w:cs="Calibri"/>
                <w:bCs/>
                <w:color w:val="000000" w:themeColor="text1"/>
              </w:rPr>
              <w:t xml:space="preserve"> has oversight of the annual review of the Student Charter in line with HEFCW recommendations and wider student experiential additions and amendments.</w:t>
            </w:r>
          </w:p>
          <w:p w14:paraId="5D985BFD"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p>
          <w:p w14:paraId="390DD825"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bCs/>
                <w:color w:val="000000" w:themeColor="text1"/>
              </w:rPr>
              <w:t xml:space="preserve">Students are kept informed via many </w:t>
            </w:r>
            <w:r w:rsidRPr="00EE022A">
              <w:rPr>
                <w:rFonts w:ascii="Calibri" w:hAnsi="Calibri" w:cs="Calibri"/>
                <w:b/>
                <w:color w:val="000000" w:themeColor="text1"/>
              </w:rPr>
              <w:t>University channels</w:t>
            </w:r>
            <w:r w:rsidRPr="0027704E">
              <w:rPr>
                <w:rFonts w:ascii="Calibri" w:hAnsi="Calibri" w:cs="Calibri"/>
                <w:bCs/>
                <w:color w:val="000000" w:themeColor="text1"/>
              </w:rPr>
              <w:t xml:space="preserve"> including:</w:t>
            </w:r>
          </w:p>
          <w:p w14:paraId="6329D81C" w14:textId="77777777" w:rsidR="0027704E" w:rsidRPr="0027704E" w:rsidRDefault="0027704E" w:rsidP="0027704E">
            <w:pPr>
              <w:pStyle w:val="NormalWeb"/>
              <w:shd w:val="clear" w:color="auto" w:fill="FFFFFF"/>
              <w:spacing w:before="0" w:beforeAutospacing="0" w:after="0" w:afterAutospacing="0"/>
              <w:ind w:left="720" w:hanging="360"/>
              <w:rPr>
                <w:rFonts w:ascii="Calibri" w:hAnsi="Calibri" w:cs="Calibri"/>
                <w:color w:val="000000" w:themeColor="text1"/>
              </w:rPr>
            </w:pPr>
            <w:r w:rsidRPr="0027704E">
              <w:rPr>
                <w:rFonts w:ascii="Symbol" w:hAnsi="Symbol" w:cs="Calibri"/>
                <w:color w:val="000000" w:themeColor="text1"/>
                <w:bdr w:val="none" w:sz="0" w:space="0" w:color="auto" w:frame="1"/>
              </w:rPr>
              <w:t></w:t>
            </w:r>
            <w:r w:rsidRPr="0027704E">
              <w:rPr>
                <w:color w:val="000000" w:themeColor="text1"/>
                <w:bdr w:val="none" w:sz="0" w:space="0" w:color="auto" w:frame="1"/>
              </w:rPr>
              <w:t>        </w:t>
            </w:r>
            <w:r w:rsidRPr="0027704E">
              <w:rPr>
                <w:rFonts w:ascii="Calibri" w:hAnsi="Calibri" w:cs="Calibri"/>
                <w:bCs/>
                <w:color w:val="000000" w:themeColor="text1"/>
                <w:bdr w:val="none" w:sz="0" w:space="0" w:color="auto" w:frame="1"/>
              </w:rPr>
              <w:t xml:space="preserve">Student representative at </w:t>
            </w:r>
            <w:proofErr w:type="gramStart"/>
            <w:r w:rsidRPr="0027704E">
              <w:rPr>
                <w:rFonts w:ascii="Calibri" w:hAnsi="Calibri" w:cs="Calibri"/>
                <w:bCs/>
                <w:color w:val="000000" w:themeColor="text1"/>
                <w:bdr w:val="none" w:sz="0" w:space="0" w:color="auto" w:frame="1"/>
              </w:rPr>
              <w:t>University</w:t>
            </w:r>
            <w:proofErr w:type="gramEnd"/>
            <w:r w:rsidRPr="0027704E">
              <w:rPr>
                <w:rFonts w:ascii="Calibri" w:hAnsi="Calibri" w:cs="Calibri"/>
                <w:bCs/>
                <w:color w:val="000000" w:themeColor="text1"/>
                <w:bdr w:val="none" w:sz="0" w:space="0" w:color="auto" w:frame="1"/>
              </w:rPr>
              <w:t xml:space="preserve"> level committees and college based Student/Staff Forums and Learning and Teaching Committees</w:t>
            </w:r>
          </w:p>
          <w:p w14:paraId="57548DC0" w14:textId="77777777" w:rsidR="0027704E" w:rsidRPr="0027704E" w:rsidRDefault="0027704E" w:rsidP="0027704E">
            <w:pPr>
              <w:pStyle w:val="NormalWeb"/>
              <w:shd w:val="clear" w:color="auto" w:fill="FFFFFF"/>
              <w:spacing w:before="0" w:beforeAutospacing="0" w:after="0" w:afterAutospacing="0"/>
              <w:ind w:left="1029" w:hanging="669"/>
              <w:rPr>
                <w:rFonts w:ascii="Calibri" w:hAnsi="Calibri" w:cs="Calibri"/>
                <w:color w:val="000000" w:themeColor="text1"/>
              </w:rPr>
            </w:pPr>
            <w:r w:rsidRPr="0027704E">
              <w:rPr>
                <w:rFonts w:ascii="Symbol" w:hAnsi="Symbol" w:cs="Calibri"/>
                <w:color w:val="000000" w:themeColor="text1"/>
                <w:bdr w:val="none" w:sz="0" w:space="0" w:color="auto" w:frame="1"/>
              </w:rPr>
              <w:t></w:t>
            </w:r>
            <w:r w:rsidRPr="0027704E">
              <w:rPr>
                <w:color w:val="000000" w:themeColor="text1"/>
                <w:bdr w:val="none" w:sz="0" w:space="0" w:color="auto" w:frame="1"/>
              </w:rPr>
              <w:t>        </w:t>
            </w:r>
            <w:proofErr w:type="spellStart"/>
            <w:r w:rsidRPr="0027704E">
              <w:rPr>
                <w:rFonts w:ascii="Calibri" w:hAnsi="Calibri" w:cs="Calibri"/>
                <w:bCs/>
                <w:color w:val="000000" w:themeColor="text1"/>
                <w:bdr w:val="none" w:sz="0" w:space="0" w:color="auto" w:frame="1"/>
              </w:rPr>
              <w:t>MyUni</w:t>
            </w:r>
            <w:proofErr w:type="spellEnd"/>
            <w:r w:rsidRPr="0027704E">
              <w:rPr>
                <w:rFonts w:ascii="Calibri" w:hAnsi="Calibri" w:cs="Calibri"/>
                <w:bCs/>
                <w:color w:val="000000" w:themeColor="text1"/>
                <w:bdr w:val="none" w:sz="0" w:space="0" w:color="auto" w:frame="1"/>
              </w:rPr>
              <w:t xml:space="preserve"> website and a weekly student newsletter that is complimented with more focussed, directly issued student emails and a host of social media platforms </w:t>
            </w:r>
          </w:p>
          <w:p w14:paraId="61CEE7F3" w14:textId="77777777" w:rsidR="0027704E" w:rsidRPr="0027704E" w:rsidRDefault="0027704E" w:rsidP="0027704E">
            <w:pPr>
              <w:pStyle w:val="NormalWeb"/>
              <w:shd w:val="clear" w:color="auto" w:fill="FFFFFF"/>
              <w:spacing w:before="0" w:beforeAutospacing="0" w:after="0" w:afterAutospacing="0"/>
              <w:ind w:left="720" w:hanging="360"/>
              <w:rPr>
                <w:rFonts w:ascii="Calibri" w:hAnsi="Calibri" w:cs="Calibri"/>
                <w:color w:val="000000" w:themeColor="text1"/>
              </w:rPr>
            </w:pPr>
            <w:r w:rsidRPr="0027704E">
              <w:rPr>
                <w:rFonts w:ascii="Symbol" w:hAnsi="Symbol" w:cs="Calibri"/>
                <w:color w:val="000000" w:themeColor="text1"/>
                <w:bdr w:val="none" w:sz="0" w:space="0" w:color="auto" w:frame="1"/>
              </w:rPr>
              <w:t></w:t>
            </w:r>
            <w:r w:rsidRPr="0027704E">
              <w:rPr>
                <w:color w:val="000000" w:themeColor="text1"/>
                <w:bdr w:val="none" w:sz="0" w:space="0" w:color="auto" w:frame="1"/>
              </w:rPr>
              <w:t>        </w:t>
            </w:r>
            <w:r w:rsidRPr="0027704E">
              <w:rPr>
                <w:rFonts w:ascii="Calibri" w:hAnsi="Calibri" w:cs="Calibri"/>
                <w:bCs/>
                <w:color w:val="000000" w:themeColor="text1"/>
                <w:bdr w:val="none" w:sz="0" w:space="0" w:color="auto" w:frame="1"/>
              </w:rPr>
              <w:t>Student Reviewer Community supporting quality review and enhancement objectives and sit on annual programme reviews</w:t>
            </w:r>
          </w:p>
          <w:p w14:paraId="59A53004"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bCs/>
                <w:color w:val="000000" w:themeColor="text1"/>
              </w:rPr>
              <w:t> </w:t>
            </w:r>
          </w:p>
          <w:p w14:paraId="312FE205"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bCs/>
                <w:color w:val="000000" w:themeColor="text1"/>
              </w:rPr>
              <w:t xml:space="preserve">Our </w:t>
            </w:r>
            <w:r w:rsidRPr="00EE022A">
              <w:rPr>
                <w:rFonts w:ascii="Calibri" w:hAnsi="Calibri" w:cs="Calibri"/>
                <w:b/>
                <w:color w:val="000000" w:themeColor="text1"/>
              </w:rPr>
              <w:t>Student Engagement Strategy</w:t>
            </w:r>
            <w:r w:rsidRPr="0027704E">
              <w:rPr>
                <w:rFonts w:ascii="Calibri" w:hAnsi="Calibri" w:cs="Calibri"/>
                <w:bCs/>
                <w:color w:val="000000" w:themeColor="text1"/>
              </w:rPr>
              <w:t xml:space="preserve"> focuses on creating an inclusive culture of student engagement and partnership ensuring that our Student Representative body reflects the diversity of our student population and are represented as partners throughout our structures. All students, including those with protected characteristics, are encouraged and supported to engage as partners through a wide variety of platforms enabling choice and supporting accessibility such as Student Opinion Panels, and Food for Thought events. We also engage with our students at partner organisations through this strategy. The student voice and student feedback </w:t>
            </w:r>
            <w:proofErr w:type="gramStart"/>
            <w:r w:rsidRPr="0027704E">
              <w:rPr>
                <w:rFonts w:ascii="Calibri" w:hAnsi="Calibri" w:cs="Calibri"/>
                <w:bCs/>
                <w:color w:val="000000" w:themeColor="text1"/>
              </w:rPr>
              <w:t>is</w:t>
            </w:r>
            <w:proofErr w:type="gramEnd"/>
            <w:r w:rsidRPr="0027704E">
              <w:rPr>
                <w:rFonts w:ascii="Calibri" w:hAnsi="Calibri" w:cs="Calibri"/>
                <w:bCs/>
                <w:color w:val="000000" w:themeColor="text1"/>
              </w:rPr>
              <w:t xml:space="preserve"> captured by Learner Voice surveys within our partner institutions that feed back to the link tutor for each college.</w:t>
            </w:r>
          </w:p>
          <w:p w14:paraId="14FEA81F"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bCs/>
                <w:color w:val="000000" w:themeColor="text1"/>
              </w:rPr>
              <w:t> </w:t>
            </w:r>
          </w:p>
          <w:p w14:paraId="0884599F"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bCs/>
                <w:color w:val="000000" w:themeColor="text1"/>
              </w:rPr>
              <w:lastRenderedPageBreak/>
              <w:t xml:space="preserve">The University runs a </w:t>
            </w:r>
            <w:r w:rsidRPr="00EE022A">
              <w:rPr>
                <w:rFonts w:ascii="Calibri" w:hAnsi="Calibri" w:cs="Calibri"/>
                <w:b/>
                <w:color w:val="000000" w:themeColor="text1"/>
              </w:rPr>
              <w:t>‘Together We Changed’</w:t>
            </w:r>
            <w:r w:rsidRPr="0027704E">
              <w:rPr>
                <w:rFonts w:ascii="Calibri" w:hAnsi="Calibri" w:cs="Calibri"/>
                <w:bCs/>
                <w:color w:val="000000" w:themeColor="text1"/>
              </w:rPr>
              <w:t xml:space="preserve"> initiative, aimed at closing the feedback loop. Visuals and messages detailing positive actions as a result of student feedback are communicated at programme, College and University level. Students </w:t>
            </w:r>
            <w:proofErr w:type="gramStart"/>
            <w:r w:rsidRPr="0027704E">
              <w:rPr>
                <w:rFonts w:ascii="Calibri" w:hAnsi="Calibri" w:cs="Calibri"/>
                <w:bCs/>
                <w:color w:val="000000" w:themeColor="text1"/>
              </w:rPr>
              <w:t>are able to</w:t>
            </w:r>
            <w:proofErr w:type="gramEnd"/>
            <w:r w:rsidRPr="0027704E">
              <w:rPr>
                <w:rFonts w:ascii="Calibri" w:hAnsi="Calibri" w:cs="Calibri"/>
                <w:bCs/>
                <w:color w:val="000000" w:themeColor="text1"/>
              </w:rPr>
              <w:t xml:space="preserve"> post and comment anonymously on College and University-wide boards through the </w:t>
            </w:r>
            <w:proofErr w:type="spellStart"/>
            <w:r w:rsidRPr="0027704E">
              <w:rPr>
                <w:rFonts w:ascii="Calibri" w:hAnsi="Calibri" w:cs="Calibri"/>
                <w:bCs/>
                <w:color w:val="000000" w:themeColor="text1"/>
              </w:rPr>
              <w:t>Unitu</w:t>
            </w:r>
            <w:proofErr w:type="spellEnd"/>
            <w:r w:rsidRPr="0027704E">
              <w:rPr>
                <w:rFonts w:ascii="Calibri" w:hAnsi="Calibri" w:cs="Calibri"/>
                <w:bCs/>
                <w:color w:val="000000" w:themeColor="text1"/>
              </w:rPr>
              <w:t xml:space="preserve"> student voice platform, allowing staff to respond, and facilitating meaningful discussion. The platform provides insight into students’ priorities at ground level and conversation is constantly evolving. Staff </w:t>
            </w:r>
            <w:proofErr w:type="gramStart"/>
            <w:r w:rsidRPr="0027704E">
              <w:rPr>
                <w:rFonts w:ascii="Calibri" w:hAnsi="Calibri" w:cs="Calibri"/>
                <w:bCs/>
                <w:color w:val="000000" w:themeColor="text1"/>
              </w:rPr>
              <w:t>are able to</w:t>
            </w:r>
            <w:proofErr w:type="gramEnd"/>
            <w:r w:rsidRPr="0027704E">
              <w:rPr>
                <w:rFonts w:ascii="Calibri" w:hAnsi="Calibri" w:cs="Calibri"/>
                <w:bCs/>
                <w:color w:val="000000" w:themeColor="text1"/>
              </w:rPr>
              <w:t xml:space="preserve"> engage with student module feedback via the </w:t>
            </w:r>
            <w:proofErr w:type="spellStart"/>
            <w:r w:rsidRPr="0027704E">
              <w:rPr>
                <w:rFonts w:ascii="Calibri" w:hAnsi="Calibri" w:cs="Calibri"/>
                <w:bCs/>
                <w:color w:val="000000" w:themeColor="text1"/>
              </w:rPr>
              <w:t>EvaMetrics</w:t>
            </w:r>
            <w:proofErr w:type="spellEnd"/>
            <w:r w:rsidRPr="0027704E">
              <w:rPr>
                <w:rFonts w:ascii="Calibri" w:hAnsi="Calibri" w:cs="Calibri"/>
                <w:bCs/>
                <w:color w:val="000000" w:themeColor="text1"/>
              </w:rPr>
              <w:t xml:space="preserve"> Engagement Portal which supports in-class completion of the surveys at both in-module and end of module. The portal provides staff with a simple tool for providing reflections to students based on their feedback, identifying actions and creating a dialogue between staff and students, supporting co-creation of module content and helping to close the feedback loop. </w:t>
            </w:r>
          </w:p>
          <w:p w14:paraId="586EF09E"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bCs/>
                <w:color w:val="000000" w:themeColor="text1"/>
              </w:rPr>
              <w:t> </w:t>
            </w:r>
          </w:p>
          <w:p w14:paraId="3311BEA8" w14:textId="77777777" w:rsidR="0027704E" w:rsidRPr="0027704E" w:rsidRDefault="0027704E" w:rsidP="0027704E">
            <w:pPr>
              <w:pStyle w:val="NormalWeb"/>
              <w:shd w:val="clear" w:color="auto" w:fill="FFFFFF"/>
              <w:spacing w:before="0" w:beforeAutospacing="0" w:after="0" w:afterAutospacing="0"/>
              <w:rPr>
                <w:rFonts w:ascii="Calibri" w:hAnsi="Calibri" w:cs="Calibri"/>
                <w:bCs/>
                <w:color w:val="000000" w:themeColor="text1"/>
              </w:rPr>
            </w:pPr>
            <w:r w:rsidRPr="00EE022A">
              <w:rPr>
                <w:rFonts w:ascii="Calibri" w:hAnsi="Calibri" w:cs="Calibri"/>
                <w:b/>
                <w:color w:val="000000" w:themeColor="text1"/>
              </w:rPr>
              <w:t>Student Staff Forums</w:t>
            </w:r>
            <w:r w:rsidRPr="0027704E">
              <w:rPr>
                <w:rFonts w:ascii="Calibri" w:hAnsi="Calibri" w:cs="Calibri"/>
                <w:bCs/>
                <w:color w:val="000000" w:themeColor="text1"/>
              </w:rPr>
              <w:t xml:space="preserve"> are held with Student Representatives, the Students’ Union and College Staff to address student feedback and provide updates for the student body. A </w:t>
            </w:r>
            <w:r w:rsidRPr="00EE022A">
              <w:rPr>
                <w:rFonts w:ascii="Calibri" w:hAnsi="Calibri" w:cs="Calibri"/>
                <w:b/>
                <w:color w:val="000000" w:themeColor="text1"/>
              </w:rPr>
              <w:t>Welsh Affairs Officer</w:t>
            </w:r>
            <w:r w:rsidRPr="0027704E">
              <w:rPr>
                <w:rFonts w:ascii="Calibri" w:hAnsi="Calibri" w:cs="Calibri"/>
                <w:bCs/>
                <w:color w:val="000000" w:themeColor="text1"/>
              </w:rPr>
              <w:t xml:space="preserve"> will provide representation and support for students who are Welsh speaking and/or are from Wales and/or are studying part of their course through the medium of Welsh. A specific forum has been established for Welsh-medium students who are members of the Coleg Cymraeg </w:t>
            </w:r>
            <w:proofErr w:type="spellStart"/>
            <w:r w:rsidRPr="0027704E">
              <w:rPr>
                <w:rFonts w:ascii="Calibri" w:hAnsi="Calibri" w:cs="Calibri"/>
                <w:bCs/>
                <w:color w:val="000000" w:themeColor="text1"/>
              </w:rPr>
              <w:t>Cenedlaethol</w:t>
            </w:r>
            <w:proofErr w:type="spellEnd"/>
            <w:r w:rsidRPr="0027704E">
              <w:rPr>
                <w:rFonts w:ascii="Calibri" w:hAnsi="Calibri" w:cs="Calibri"/>
                <w:bCs/>
                <w:color w:val="000000" w:themeColor="text1"/>
              </w:rPr>
              <w:t xml:space="preserve"> and their feedback is received by the University’s Welsh Language Strategy Board </w:t>
            </w:r>
            <w:proofErr w:type="gramStart"/>
            <w:r w:rsidRPr="0027704E">
              <w:rPr>
                <w:rFonts w:ascii="Calibri" w:hAnsi="Calibri" w:cs="Calibri"/>
                <w:bCs/>
                <w:color w:val="000000" w:themeColor="text1"/>
              </w:rPr>
              <w:t>and also</w:t>
            </w:r>
            <w:proofErr w:type="gramEnd"/>
            <w:r w:rsidRPr="0027704E">
              <w:rPr>
                <w:rFonts w:ascii="Calibri" w:hAnsi="Calibri" w:cs="Calibri"/>
                <w:bCs/>
                <w:color w:val="000000" w:themeColor="text1"/>
              </w:rPr>
              <w:t xml:space="preserve"> the Coleg Cymraeg </w:t>
            </w:r>
            <w:proofErr w:type="spellStart"/>
            <w:r w:rsidRPr="0027704E">
              <w:rPr>
                <w:rFonts w:ascii="Calibri" w:hAnsi="Calibri" w:cs="Calibri"/>
                <w:bCs/>
                <w:color w:val="000000" w:themeColor="text1"/>
              </w:rPr>
              <w:t>Cenedlaethol’s</w:t>
            </w:r>
            <w:proofErr w:type="spellEnd"/>
            <w:r w:rsidRPr="0027704E">
              <w:rPr>
                <w:rFonts w:ascii="Calibri" w:hAnsi="Calibri" w:cs="Calibri"/>
                <w:bCs/>
                <w:color w:val="000000" w:themeColor="text1"/>
              </w:rPr>
              <w:t xml:space="preserve"> Academic Board.</w:t>
            </w:r>
          </w:p>
          <w:p w14:paraId="4ACC0407"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p>
          <w:p w14:paraId="0FC367F3" w14:textId="77777777" w:rsidR="0027704E" w:rsidRPr="0027704E" w:rsidRDefault="0027704E" w:rsidP="0027704E">
            <w:pPr>
              <w:pStyle w:val="NormalWeb"/>
              <w:shd w:val="clear" w:color="auto" w:fill="FFFFFF"/>
              <w:spacing w:before="0" w:beforeAutospacing="0" w:after="0" w:afterAutospacing="0"/>
              <w:rPr>
                <w:rFonts w:ascii="Calibri" w:hAnsi="Calibri" w:cs="Calibri"/>
                <w:bCs/>
                <w:color w:val="000000" w:themeColor="text1"/>
              </w:rPr>
            </w:pPr>
            <w:r w:rsidRPr="0027704E">
              <w:rPr>
                <w:rFonts w:ascii="Calibri" w:hAnsi="Calibri" w:cs="Calibri"/>
                <w:bCs/>
                <w:color w:val="000000" w:themeColor="text1"/>
              </w:rPr>
              <w:t xml:space="preserve">The </w:t>
            </w:r>
            <w:r w:rsidRPr="00EE022A">
              <w:rPr>
                <w:rFonts w:ascii="Calibri" w:hAnsi="Calibri" w:cs="Calibri"/>
                <w:b/>
                <w:color w:val="000000" w:themeColor="text1"/>
              </w:rPr>
              <w:t>‘Student Rep’ system</w:t>
            </w:r>
            <w:r w:rsidRPr="0027704E">
              <w:rPr>
                <w:rFonts w:ascii="Calibri" w:hAnsi="Calibri" w:cs="Calibri"/>
                <w:bCs/>
                <w:color w:val="000000" w:themeColor="text1"/>
              </w:rPr>
              <w:t xml:space="preserve"> has over 300 representatives at College and subject levels who sit on College Learning and Teaching Committees, Boards of Study and College Staff-Student Forums. Feedback from student representatives forms a major part of the agendas of boards of studies and College student forums. The College Reps also form a partnership ‘Education Zone’ committee run by the Students Union and chaired by the Education Officer within the Students’ Union. </w:t>
            </w:r>
          </w:p>
          <w:p w14:paraId="56777BDD"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p>
          <w:p w14:paraId="40D7BC08"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color w:val="000000" w:themeColor="text1"/>
              </w:rPr>
              <w:t xml:space="preserve">Every College also has </w:t>
            </w:r>
            <w:r w:rsidRPr="00EE022A">
              <w:rPr>
                <w:rFonts w:ascii="Calibri" w:hAnsi="Calibri" w:cs="Calibri"/>
                <w:b/>
                <w:bCs/>
                <w:color w:val="000000" w:themeColor="text1"/>
              </w:rPr>
              <w:t>Student Engagement Leads</w:t>
            </w:r>
            <w:r w:rsidRPr="0027704E">
              <w:rPr>
                <w:rFonts w:ascii="Calibri" w:hAnsi="Calibri" w:cs="Calibri"/>
                <w:color w:val="000000" w:themeColor="text1"/>
              </w:rPr>
              <w:t xml:space="preserve">, both academic and administrative, who form close partnership relationships with their college and subject student representatives. The leads and student representatives provide mutual support for each other in addressing issues and developing and co-creating initiatives at a college level, such as peer mentoring and buddy schemes. </w:t>
            </w:r>
          </w:p>
          <w:p w14:paraId="2F554437" w14:textId="77777777" w:rsidR="0027704E" w:rsidRPr="0027704E" w:rsidRDefault="0027704E" w:rsidP="0027704E">
            <w:pPr>
              <w:pStyle w:val="NormalWeb"/>
              <w:shd w:val="clear" w:color="auto" w:fill="FFFFFF"/>
              <w:spacing w:before="0" w:beforeAutospacing="0" w:after="0" w:afterAutospacing="0"/>
              <w:rPr>
                <w:rFonts w:ascii="Calibri" w:hAnsi="Calibri" w:cs="Calibri"/>
                <w:color w:val="000000" w:themeColor="text1"/>
              </w:rPr>
            </w:pPr>
            <w:r w:rsidRPr="0027704E">
              <w:rPr>
                <w:rFonts w:ascii="Calibri" w:hAnsi="Calibri" w:cs="Calibri"/>
                <w:bCs/>
                <w:color w:val="000000" w:themeColor="text1"/>
              </w:rPr>
              <w:t> </w:t>
            </w:r>
          </w:p>
          <w:p w14:paraId="7526CC7E" w14:textId="77777777" w:rsidR="0027704E" w:rsidRPr="008F1E70" w:rsidRDefault="0027704E" w:rsidP="0027704E">
            <w:pPr>
              <w:pStyle w:val="NormalWeb"/>
              <w:shd w:val="clear" w:color="auto" w:fill="FFFFFF"/>
              <w:spacing w:before="0" w:beforeAutospacing="0" w:after="0" w:afterAutospacing="0"/>
              <w:rPr>
                <w:rFonts w:ascii="Calibri" w:hAnsi="Calibri" w:cs="Calibri"/>
                <w:bCs/>
              </w:rPr>
            </w:pPr>
            <w:r w:rsidRPr="0027704E">
              <w:rPr>
                <w:rFonts w:ascii="Calibri" w:hAnsi="Calibri" w:cs="Calibri"/>
                <w:bCs/>
                <w:color w:val="000000" w:themeColor="text1"/>
              </w:rPr>
              <w:t xml:space="preserve">Students are represented in the </w:t>
            </w:r>
            <w:r w:rsidRPr="00EE022A">
              <w:rPr>
                <w:rFonts w:ascii="Calibri" w:hAnsi="Calibri" w:cs="Calibri"/>
                <w:b/>
                <w:color w:val="000000" w:themeColor="text1"/>
              </w:rPr>
              <w:t>quality review processes</w:t>
            </w:r>
            <w:r w:rsidRPr="0027704E">
              <w:rPr>
                <w:rFonts w:ascii="Calibri" w:hAnsi="Calibri" w:cs="Calibri"/>
                <w:bCs/>
                <w:color w:val="000000" w:themeColor="text1"/>
              </w:rPr>
              <w:t xml:space="preserve"> through membership on the panels of Periodic Reviews </w:t>
            </w:r>
            <w:r w:rsidRPr="008F1E70">
              <w:rPr>
                <w:rFonts w:ascii="Calibri" w:hAnsi="Calibri" w:cs="Calibri"/>
                <w:bCs/>
              </w:rPr>
              <w:t>and Student Experience Enhancement Reviews (usually triggered by student feedback). Students are also invited to these panels to give feedback on their academic experience. Student feedback through survey responses form a major part of the quality review processes and the high response rate at Swansea enables us to have very robust data on student satisfaction. Student feedback at module level, collected biannually, also contributes to staff professional development reviews.</w:t>
            </w:r>
          </w:p>
          <w:p w14:paraId="6C7FE7CB" w14:textId="77777777" w:rsidR="0027704E" w:rsidRPr="0027704E" w:rsidRDefault="0027704E" w:rsidP="0027704E">
            <w:pPr>
              <w:pStyle w:val="NormalWeb"/>
              <w:shd w:val="clear" w:color="auto" w:fill="FFFFFF"/>
              <w:spacing w:before="0" w:beforeAutospacing="0" w:after="0" w:afterAutospacing="0"/>
              <w:rPr>
                <w:rFonts w:ascii="Calibri" w:hAnsi="Calibri" w:cs="Calibri"/>
                <w:bCs/>
                <w:color w:val="000000" w:themeColor="text1"/>
              </w:rPr>
            </w:pPr>
          </w:p>
          <w:p w14:paraId="01EC57DA" w14:textId="77777777" w:rsidR="0027704E" w:rsidRPr="0027704E" w:rsidRDefault="0027704E" w:rsidP="0027704E">
            <w:pPr>
              <w:pStyle w:val="NormalWeb"/>
              <w:shd w:val="clear" w:color="auto" w:fill="FFFFFF"/>
              <w:spacing w:before="0" w:beforeAutospacing="0" w:after="0" w:afterAutospacing="0"/>
              <w:rPr>
                <w:rFonts w:ascii="Calibri" w:hAnsi="Calibri" w:cs="Calibri"/>
                <w:bCs/>
                <w:color w:val="000000" w:themeColor="text1"/>
              </w:rPr>
            </w:pPr>
            <w:r w:rsidRPr="0027704E">
              <w:rPr>
                <w:rFonts w:ascii="Calibri" w:hAnsi="Calibri" w:cs="Calibri"/>
                <w:bCs/>
                <w:color w:val="000000" w:themeColor="text1"/>
              </w:rPr>
              <w:t xml:space="preserve">The success of our student partnership is demonstrated in the transition to our new digital learning platform, Canvas. Students and Full-Time Officers were engaged throughout the procurement process and in the initial phase testing of the platform, highlighting changes and improvements for the </w:t>
            </w:r>
            <w:r w:rsidRPr="0027704E">
              <w:rPr>
                <w:rFonts w:ascii="Calibri" w:hAnsi="Calibri" w:cs="Calibri"/>
                <w:bCs/>
                <w:color w:val="000000" w:themeColor="text1"/>
              </w:rPr>
              <w:lastRenderedPageBreak/>
              <w:t>benefit the wider student body. The President and Education Officer continue to sit on the Canvas Project Board to allow constant feedback. They have confirmed that they believe this has been instrumental in improving the quality of learning and teaching.  </w:t>
            </w:r>
          </w:p>
          <w:p w14:paraId="62F2F878" w14:textId="77777777" w:rsidR="0027704E" w:rsidRPr="0027704E" w:rsidRDefault="0027704E" w:rsidP="0027704E">
            <w:pPr>
              <w:pStyle w:val="NormalWeb"/>
              <w:shd w:val="clear" w:color="auto" w:fill="FFFFFF"/>
              <w:spacing w:before="0" w:beforeAutospacing="0" w:after="0" w:afterAutospacing="0"/>
              <w:rPr>
                <w:rFonts w:ascii="Calibri" w:hAnsi="Calibri"/>
                <w:color w:val="000000" w:themeColor="text1"/>
              </w:rPr>
            </w:pPr>
          </w:p>
          <w:p w14:paraId="1E330F3B" w14:textId="77777777" w:rsidR="0027704E" w:rsidRPr="0027704E" w:rsidRDefault="0027704E" w:rsidP="0027704E">
            <w:pPr>
              <w:pStyle w:val="NormalWeb"/>
              <w:shd w:val="clear" w:color="auto" w:fill="FFFFFF"/>
              <w:spacing w:before="0" w:beforeAutospacing="0" w:after="0" w:afterAutospacing="0"/>
              <w:rPr>
                <w:rFonts w:ascii="Calibri" w:hAnsi="Calibri" w:cs="Calibri"/>
                <w:bCs/>
                <w:color w:val="000000" w:themeColor="text1"/>
              </w:rPr>
            </w:pPr>
            <w:r w:rsidRPr="0027704E">
              <w:rPr>
                <w:rFonts w:ascii="Calibri" w:hAnsi="Calibri" w:cs="Calibri"/>
                <w:bCs/>
                <w:color w:val="000000" w:themeColor="text1"/>
              </w:rPr>
              <w:t xml:space="preserve">Another example of </w:t>
            </w:r>
            <w:r w:rsidRPr="00EE022A">
              <w:rPr>
                <w:rFonts w:ascii="Calibri" w:hAnsi="Calibri" w:cs="Calibri"/>
                <w:b/>
                <w:color w:val="000000" w:themeColor="text1"/>
              </w:rPr>
              <w:t>co-creation</w:t>
            </w:r>
            <w:r w:rsidRPr="0027704E">
              <w:rPr>
                <w:rFonts w:ascii="Calibri" w:hAnsi="Calibri" w:cs="Calibri"/>
                <w:bCs/>
                <w:color w:val="000000" w:themeColor="text1"/>
              </w:rPr>
              <w:t xml:space="preserve"> between the University and our student partners is reflected in the Black History Month Campaign where the SU worked with the University to host </w:t>
            </w:r>
            <w:proofErr w:type="gramStart"/>
            <w:r w:rsidRPr="0027704E">
              <w:rPr>
                <w:rFonts w:ascii="Calibri" w:hAnsi="Calibri" w:cs="Calibri"/>
                <w:bCs/>
                <w:color w:val="000000" w:themeColor="text1"/>
              </w:rPr>
              <w:t>a number of</w:t>
            </w:r>
            <w:proofErr w:type="gramEnd"/>
            <w:r w:rsidRPr="0027704E">
              <w:rPr>
                <w:rFonts w:ascii="Calibri" w:hAnsi="Calibri" w:cs="Calibri"/>
                <w:bCs/>
                <w:color w:val="000000" w:themeColor="text1"/>
              </w:rPr>
              <w:t xml:space="preserve"> Panel Talks and Webinars, including staff, students and alumni from different colleges. </w:t>
            </w:r>
            <w:proofErr w:type="gramStart"/>
            <w:r w:rsidRPr="0027704E">
              <w:rPr>
                <w:rFonts w:ascii="Calibri" w:hAnsi="Calibri" w:cs="Calibri"/>
                <w:bCs/>
                <w:color w:val="000000" w:themeColor="text1"/>
              </w:rPr>
              <w:t>Additionally</w:t>
            </w:r>
            <w:proofErr w:type="gramEnd"/>
            <w:r w:rsidRPr="0027704E">
              <w:rPr>
                <w:rFonts w:ascii="Calibri" w:hAnsi="Calibri" w:cs="Calibri"/>
                <w:bCs/>
                <w:color w:val="000000" w:themeColor="text1"/>
              </w:rPr>
              <w:t xml:space="preserve"> as part of the campaign the SU and the University’s Enterprise Team worked jointly to create opportunities for students to develop their skills through pitching workshops. </w:t>
            </w:r>
          </w:p>
          <w:p w14:paraId="27DC09AD" w14:textId="77777777" w:rsidR="0027704E" w:rsidRPr="00424191" w:rsidRDefault="0027704E" w:rsidP="0027704E">
            <w:pPr>
              <w:pStyle w:val="NormalWeb"/>
              <w:shd w:val="clear" w:color="auto" w:fill="FFFFFF"/>
              <w:spacing w:before="0" w:beforeAutospacing="0" w:after="0" w:afterAutospacing="0"/>
              <w:rPr>
                <w:rFonts w:ascii="Calibri" w:hAnsi="Calibri" w:cs="Calibri"/>
                <w:bCs/>
                <w:color w:val="FF0000"/>
              </w:rPr>
            </w:pPr>
          </w:p>
          <w:p w14:paraId="3F6BF103" w14:textId="77777777" w:rsidR="0027704E" w:rsidRPr="0027704E" w:rsidRDefault="0027704E" w:rsidP="0027704E">
            <w:pPr>
              <w:pStyle w:val="NormalWeb"/>
              <w:shd w:val="clear" w:color="auto" w:fill="FFFFFF"/>
              <w:spacing w:before="0" w:beforeAutospacing="0" w:after="0" w:afterAutospacing="0"/>
              <w:rPr>
                <w:rFonts w:ascii="Calibri" w:hAnsi="Calibri" w:cs="Calibri"/>
                <w:bCs/>
                <w:color w:val="000000" w:themeColor="text1"/>
              </w:rPr>
            </w:pPr>
            <w:r w:rsidRPr="0027704E">
              <w:rPr>
                <w:rFonts w:ascii="Calibri" w:hAnsi="Calibri" w:cs="Calibri"/>
                <w:bCs/>
                <w:color w:val="000000" w:themeColor="text1"/>
              </w:rPr>
              <w:t xml:space="preserve">The </w:t>
            </w:r>
            <w:r w:rsidRPr="00EE022A">
              <w:rPr>
                <w:rFonts w:ascii="Calibri" w:hAnsi="Calibri" w:cs="Calibri"/>
                <w:b/>
                <w:color w:val="000000" w:themeColor="text1"/>
              </w:rPr>
              <w:t>BAME Student Advisory Committee</w:t>
            </w:r>
            <w:r w:rsidRPr="0027704E">
              <w:rPr>
                <w:rFonts w:ascii="Calibri" w:hAnsi="Calibri" w:cs="Calibri"/>
                <w:bCs/>
                <w:color w:val="000000" w:themeColor="text1"/>
              </w:rPr>
              <w:t xml:space="preserve"> is a project between the SU and the University that has been co-created to ensure the voices of Black, Asian &amp; Minority Ethnic students are being listened to and represented in all areas of the University. Each student on this committee has a member of the Senior Leadership Team to mentor, in order to further educate SLT on the issues that these group of students face.</w:t>
            </w:r>
          </w:p>
          <w:p w14:paraId="2B09DEA7" w14:textId="77777777" w:rsidR="0027704E" w:rsidRPr="0027704E" w:rsidRDefault="0027704E" w:rsidP="0027704E">
            <w:pPr>
              <w:pStyle w:val="NormalWeb"/>
              <w:shd w:val="clear" w:color="auto" w:fill="FFFFFF"/>
              <w:spacing w:before="0" w:beforeAutospacing="0" w:after="0" w:afterAutospacing="0"/>
              <w:rPr>
                <w:rFonts w:ascii="Calibri" w:hAnsi="Calibri" w:cs="Calibri"/>
                <w:bCs/>
                <w:color w:val="000000" w:themeColor="text1"/>
              </w:rPr>
            </w:pPr>
          </w:p>
          <w:p w14:paraId="5BFC1D8C" w14:textId="22A6114D" w:rsidR="0027704E" w:rsidRPr="0027704E" w:rsidRDefault="0027704E" w:rsidP="0027704E">
            <w:pPr>
              <w:spacing w:after="120"/>
              <w:ind w:left="0" w:firstLine="0"/>
              <w:rPr>
                <w:rFonts w:ascii="Calibri" w:hAnsi="Calibri" w:cs="Calibri"/>
                <w:bCs/>
                <w:color w:val="000000" w:themeColor="text1"/>
              </w:rPr>
            </w:pPr>
            <w:proofErr w:type="gramStart"/>
            <w:r w:rsidRPr="0027704E">
              <w:rPr>
                <w:rFonts w:ascii="Calibri" w:hAnsi="Calibri" w:cs="Calibri"/>
                <w:bCs/>
                <w:color w:val="000000" w:themeColor="text1"/>
              </w:rPr>
              <w:t>Again</w:t>
            </w:r>
            <w:proofErr w:type="gramEnd"/>
            <w:r w:rsidRPr="0027704E">
              <w:rPr>
                <w:rFonts w:ascii="Calibri" w:hAnsi="Calibri" w:cs="Calibri"/>
                <w:bCs/>
                <w:color w:val="000000" w:themeColor="text1"/>
              </w:rPr>
              <w:t xml:space="preserve"> the SU has worked in partnership with the University (</w:t>
            </w:r>
            <w:proofErr w:type="spellStart"/>
            <w:r w:rsidRPr="00EE022A">
              <w:rPr>
                <w:rFonts w:ascii="Calibri" w:hAnsi="Calibri" w:cs="Calibri"/>
                <w:b/>
                <w:color w:val="000000" w:themeColor="text1"/>
              </w:rPr>
              <w:t>CampusLife</w:t>
            </w:r>
            <w:proofErr w:type="spellEnd"/>
            <w:r w:rsidRPr="0027704E">
              <w:rPr>
                <w:rFonts w:ascii="Calibri" w:hAnsi="Calibri" w:cs="Calibri"/>
                <w:bCs/>
                <w:color w:val="000000" w:themeColor="text1"/>
              </w:rPr>
              <w:t xml:space="preserve">) to create resources such as Mental Health Guides for International Students', as well as working with the </w:t>
            </w:r>
            <w:r w:rsidRPr="00EE022A">
              <w:rPr>
                <w:rFonts w:ascii="Calibri" w:hAnsi="Calibri" w:cs="Calibri"/>
                <w:b/>
                <w:color w:val="000000" w:themeColor="text1"/>
              </w:rPr>
              <w:t>Wellbeing</w:t>
            </w:r>
            <w:r w:rsidRPr="0027704E">
              <w:rPr>
                <w:rFonts w:ascii="Calibri" w:hAnsi="Calibri" w:cs="Calibri"/>
                <w:bCs/>
                <w:color w:val="000000" w:themeColor="text1"/>
              </w:rPr>
              <w:t xml:space="preserve"> </w:t>
            </w:r>
            <w:r w:rsidRPr="00EE022A">
              <w:rPr>
                <w:rFonts w:ascii="Calibri" w:hAnsi="Calibri" w:cs="Calibri"/>
                <w:b/>
                <w:color w:val="000000" w:themeColor="text1"/>
              </w:rPr>
              <w:t>Service</w:t>
            </w:r>
            <w:r w:rsidRPr="0027704E">
              <w:rPr>
                <w:rFonts w:ascii="Calibri" w:hAnsi="Calibri" w:cs="Calibri"/>
                <w:bCs/>
                <w:color w:val="000000" w:themeColor="text1"/>
              </w:rPr>
              <w:t xml:space="preserve"> to create the 'Respect at Swansea' module on Canvas</w:t>
            </w:r>
            <w:r>
              <w:rPr>
                <w:rFonts w:ascii="Calibri" w:hAnsi="Calibri" w:cs="Calibri"/>
                <w:bCs/>
                <w:color w:val="000000" w:themeColor="text1"/>
              </w:rPr>
              <w:t>.</w:t>
            </w:r>
          </w:p>
        </w:tc>
      </w:tr>
      <w:tr w:rsidR="0027704E" w:rsidRPr="00343B5C" w14:paraId="577C7A91" w14:textId="77777777" w:rsidTr="00215C7B">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4DE1CC" w14:textId="77777777" w:rsidR="0027704E" w:rsidRPr="00343B5C" w:rsidRDefault="0027704E" w:rsidP="0027704E">
            <w:pPr>
              <w:pStyle w:val="Heading2"/>
              <w:jc w:val="center"/>
              <w:rPr>
                <w:b/>
              </w:rPr>
            </w:pPr>
            <w:r w:rsidRPr="00343B5C">
              <w:rPr>
                <w:b/>
              </w:rPr>
              <w:lastRenderedPageBreak/>
              <w:t>Section 3 - Under-represented groups</w:t>
            </w:r>
          </w:p>
          <w:p w14:paraId="18DC5383" w14:textId="7DDC7F90" w:rsidR="0027704E" w:rsidRPr="00343B5C" w:rsidRDefault="0027704E" w:rsidP="007A3A8D"/>
        </w:tc>
      </w:tr>
      <w:tr w:rsidR="0027704E" w:rsidRPr="00343B5C" w14:paraId="40EF9C32" w14:textId="77777777" w:rsidTr="00F6290D">
        <w:trPr>
          <w:trHeight w:val="2177"/>
        </w:trPr>
        <w:tc>
          <w:tcPr>
            <w:tcW w:w="15168" w:type="dxa"/>
            <w:gridSpan w:val="4"/>
            <w:tcBorders>
              <w:top w:val="single" w:sz="4" w:space="0" w:color="auto"/>
              <w:left w:val="single" w:sz="4" w:space="0" w:color="auto"/>
              <w:bottom w:val="single" w:sz="4" w:space="0" w:color="auto"/>
              <w:right w:val="single" w:sz="4" w:space="0" w:color="auto"/>
            </w:tcBorders>
            <w:vAlign w:val="center"/>
          </w:tcPr>
          <w:p w14:paraId="3653FE00" w14:textId="4CDA01A1" w:rsidR="007A3A8D" w:rsidRDefault="007A3A8D" w:rsidP="007A3A8D">
            <w:pPr>
              <w:spacing w:after="120"/>
              <w:rPr>
                <w:rFonts w:ascii="Calibri" w:eastAsia="Times New Roman" w:hAnsi="Calibri" w:cs="Calibri"/>
                <w:bCs/>
                <w:color w:val="000000" w:themeColor="text1"/>
                <w:szCs w:val="24"/>
                <w:lang w:eastAsia="en-US"/>
              </w:rPr>
            </w:pPr>
            <w:r w:rsidRPr="007A3A8D">
              <w:rPr>
                <w:rFonts w:ascii="Calibri" w:eastAsia="Times New Roman" w:hAnsi="Calibri" w:cs="Calibri"/>
                <w:bCs/>
                <w:color w:val="000000" w:themeColor="text1"/>
                <w:szCs w:val="24"/>
                <w:lang w:eastAsia="en-US"/>
              </w:rPr>
              <w:t>For 202</w:t>
            </w:r>
            <w:r>
              <w:rPr>
                <w:rFonts w:ascii="Calibri" w:eastAsia="Times New Roman" w:hAnsi="Calibri" w:cs="Calibri"/>
                <w:bCs/>
                <w:color w:val="000000" w:themeColor="text1"/>
                <w:szCs w:val="24"/>
                <w:lang w:eastAsia="en-US"/>
              </w:rPr>
              <w:t>2</w:t>
            </w:r>
            <w:r w:rsidRPr="007A3A8D">
              <w:rPr>
                <w:rFonts w:ascii="Calibri" w:eastAsia="Times New Roman" w:hAnsi="Calibri" w:cs="Calibri"/>
                <w:bCs/>
                <w:color w:val="000000" w:themeColor="text1"/>
                <w:szCs w:val="24"/>
                <w:lang w:eastAsia="en-US"/>
              </w:rPr>
              <w:t>-2</w:t>
            </w:r>
            <w:r>
              <w:rPr>
                <w:rFonts w:ascii="Calibri" w:eastAsia="Times New Roman" w:hAnsi="Calibri" w:cs="Calibri"/>
                <w:bCs/>
                <w:color w:val="000000" w:themeColor="text1"/>
                <w:szCs w:val="24"/>
                <w:lang w:eastAsia="en-US"/>
              </w:rPr>
              <w:t>3</w:t>
            </w:r>
            <w:r w:rsidRPr="007A3A8D">
              <w:rPr>
                <w:rFonts w:ascii="Calibri" w:eastAsia="Times New Roman" w:hAnsi="Calibri" w:cs="Calibri"/>
                <w:bCs/>
                <w:color w:val="000000" w:themeColor="text1"/>
                <w:szCs w:val="24"/>
                <w:lang w:eastAsia="en-US"/>
              </w:rPr>
              <w:t xml:space="preserve">, the University has identified the following under-represented groups that </w:t>
            </w:r>
            <w:proofErr w:type="gramStart"/>
            <w:r w:rsidRPr="007A3A8D">
              <w:rPr>
                <w:rFonts w:ascii="Calibri" w:eastAsia="Times New Roman" w:hAnsi="Calibri" w:cs="Calibri"/>
                <w:bCs/>
                <w:color w:val="000000" w:themeColor="text1"/>
                <w:szCs w:val="24"/>
                <w:lang w:eastAsia="en-US"/>
              </w:rPr>
              <w:t>in particular will</w:t>
            </w:r>
            <w:proofErr w:type="gramEnd"/>
            <w:r w:rsidRPr="007A3A8D">
              <w:rPr>
                <w:rFonts w:ascii="Calibri" w:eastAsia="Times New Roman" w:hAnsi="Calibri" w:cs="Calibri"/>
                <w:bCs/>
                <w:color w:val="000000" w:themeColor="text1"/>
                <w:szCs w:val="24"/>
                <w:lang w:eastAsia="en-US"/>
              </w:rPr>
              <w:t xml:space="preserve"> be supported by this plan:</w:t>
            </w:r>
          </w:p>
          <w:p w14:paraId="01EE1F25" w14:textId="77777777" w:rsidR="007A3A8D" w:rsidRDefault="007A3A8D" w:rsidP="007A3A8D">
            <w:pPr>
              <w:spacing w:after="120"/>
              <w:rPr>
                <w:rFonts w:asciiTheme="minorHAnsi" w:hAnsiTheme="minorHAnsi" w:cstheme="minorHAnsi"/>
              </w:rPr>
            </w:pPr>
          </w:p>
          <w:p w14:paraId="74849C87" w14:textId="4F441533" w:rsidR="007A3A8D" w:rsidRPr="007A3A8D" w:rsidRDefault="007A3A8D" w:rsidP="007A3A8D">
            <w:pPr>
              <w:spacing w:after="120"/>
              <w:rPr>
                <w:rFonts w:ascii="Calibri" w:eastAsia="Times New Roman" w:hAnsi="Calibri" w:cs="Calibri"/>
                <w:bCs/>
                <w:color w:val="000000" w:themeColor="text1"/>
                <w:szCs w:val="24"/>
                <w:lang w:eastAsia="en-US"/>
              </w:rPr>
            </w:pPr>
            <w:bookmarkStart w:id="0" w:name="_Hlk105493580"/>
            <w:r w:rsidRPr="007A3A8D">
              <w:rPr>
                <w:rFonts w:asciiTheme="minorHAnsi" w:hAnsiTheme="minorHAnsi" w:cstheme="minorHAnsi"/>
              </w:rPr>
              <w:t xml:space="preserve">Under-represented groups </w:t>
            </w:r>
            <w:r w:rsidRPr="007A3A8D">
              <w:rPr>
                <w:rFonts w:asciiTheme="minorHAnsi" w:hAnsiTheme="minorHAnsi" w:cstheme="minorHAnsi"/>
                <w:b/>
                <w:bCs/>
              </w:rPr>
              <w:t>identified by HEFCW</w:t>
            </w:r>
            <w:r w:rsidRPr="007A3A8D">
              <w:rPr>
                <w:rFonts w:asciiTheme="minorHAnsi" w:hAnsiTheme="minorHAnsi" w:cstheme="minorHAnsi"/>
              </w:rPr>
              <w:t>:</w:t>
            </w:r>
          </w:p>
          <w:p w14:paraId="1E75E00E" w14:textId="77777777" w:rsidR="007A3A8D" w:rsidRPr="007A3A8D" w:rsidRDefault="007A3A8D" w:rsidP="007A3A8D">
            <w:pPr>
              <w:spacing w:after="120"/>
              <w:rPr>
                <w:rFonts w:asciiTheme="minorHAnsi" w:hAnsiTheme="minorHAnsi" w:cstheme="minorHAnsi"/>
              </w:rPr>
            </w:pPr>
            <w:r w:rsidRPr="007A3A8D">
              <w:rPr>
                <w:rFonts w:asciiTheme="minorHAnsi" w:hAnsiTheme="minorHAnsi" w:cstheme="minorHAnsi"/>
              </w:rPr>
              <w:t>•</w:t>
            </w:r>
            <w:r w:rsidRPr="007A3A8D">
              <w:rPr>
                <w:rFonts w:asciiTheme="minorHAnsi" w:hAnsiTheme="minorHAnsi" w:cstheme="minorHAnsi"/>
              </w:rPr>
              <w:tab/>
              <w:t xml:space="preserve">Students of all ages </w:t>
            </w:r>
            <w:r w:rsidRPr="007A3A8D">
              <w:rPr>
                <w:rFonts w:asciiTheme="minorHAnsi" w:hAnsiTheme="minorHAnsi" w:cstheme="minorHAnsi"/>
                <w:b/>
                <w:bCs/>
              </w:rPr>
              <w:t>from the bottom two quintiles</w:t>
            </w:r>
            <w:r w:rsidRPr="007A3A8D">
              <w:rPr>
                <w:rFonts w:asciiTheme="minorHAnsi" w:hAnsiTheme="minorHAnsi" w:cstheme="minorHAnsi"/>
              </w:rPr>
              <w:t xml:space="preserve"> of the Welsh Index of Multiple Deprivation 2014 (</w:t>
            </w:r>
            <w:r w:rsidRPr="007A3A8D">
              <w:rPr>
                <w:rFonts w:asciiTheme="minorHAnsi" w:hAnsiTheme="minorHAnsi" w:cstheme="minorHAnsi"/>
                <w:b/>
                <w:bCs/>
              </w:rPr>
              <w:t>WIMD40</w:t>
            </w:r>
            <w:r w:rsidRPr="007A3A8D">
              <w:rPr>
                <w:rFonts w:asciiTheme="minorHAnsi" w:hAnsiTheme="minorHAnsi" w:cstheme="minorHAnsi"/>
              </w:rPr>
              <w:t>).</w:t>
            </w:r>
          </w:p>
          <w:p w14:paraId="2B213A0D" w14:textId="77777777" w:rsidR="007A3A8D" w:rsidRPr="007A3A8D" w:rsidRDefault="007A3A8D" w:rsidP="007A3A8D">
            <w:pPr>
              <w:spacing w:after="120"/>
              <w:rPr>
                <w:rFonts w:asciiTheme="minorHAnsi" w:hAnsiTheme="minorHAnsi" w:cstheme="minorHAnsi"/>
              </w:rPr>
            </w:pPr>
            <w:r w:rsidRPr="007A3A8D">
              <w:rPr>
                <w:rFonts w:asciiTheme="minorHAnsi" w:hAnsiTheme="minorHAnsi" w:cstheme="minorHAnsi"/>
              </w:rPr>
              <w:t>•</w:t>
            </w:r>
            <w:r w:rsidRPr="007A3A8D">
              <w:rPr>
                <w:rFonts w:asciiTheme="minorHAnsi" w:hAnsiTheme="minorHAnsi" w:cstheme="minorHAnsi"/>
              </w:rPr>
              <w:tab/>
              <w:t xml:space="preserve">Students of all ages </w:t>
            </w:r>
            <w:r w:rsidRPr="007A3A8D">
              <w:rPr>
                <w:rFonts w:asciiTheme="minorHAnsi" w:hAnsiTheme="minorHAnsi" w:cstheme="minorHAnsi"/>
                <w:b/>
                <w:bCs/>
              </w:rPr>
              <w:t>from the bottom quintile</w:t>
            </w:r>
            <w:r w:rsidRPr="007A3A8D">
              <w:rPr>
                <w:rFonts w:asciiTheme="minorHAnsi" w:hAnsiTheme="minorHAnsi" w:cstheme="minorHAnsi"/>
              </w:rPr>
              <w:t xml:space="preserve"> of the Welsh Index of Multiple Deprivation 2014 (</w:t>
            </w:r>
            <w:r w:rsidRPr="007A3A8D">
              <w:rPr>
                <w:rFonts w:asciiTheme="minorHAnsi" w:hAnsiTheme="minorHAnsi" w:cstheme="minorHAnsi"/>
                <w:b/>
                <w:bCs/>
              </w:rPr>
              <w:t>WIMD20</w:t>
            </w:r>
            <w:r w:rsidRPr="007A3A8D">
              <w:rPr>
                <w:rFonts w:asciiTheme="minorHAnsi" w:hAnsiTheme="minorHAnsi" w:cstheme="minorHAnsi"/>
              </w:rPr>
              <w:t>).</w:t>
            </w:r>
          </w:p>
          <w:p w14:paraId="34BCCAB5" w14:textId="77777777" w:rsidR="007A3A8D" w:rsidRPr="007A3A8D" w:rsidRDefault="007A3A8D" w:rsidP="007A3A8D">
            <w:pPr>
              <w:spacing w:after="120"/>
              <w:rPr>
                <w:rFonts w:asciiTheme="minorHAnsi" w:hAnsiTheme="minorHAnsi" w:cstheme="minorHAnsi"/>
              </w:rPr>
            </w:pPr>
            <w:r w:rsidRPr="007A3A8D">
              <w:rPr>
                <w:rFonts w:asciiTheme="minorHAnsi" w:hAnsiTheme="minorHAnsi" w:cstheme="minorHAnsi"/>
              </w:rPr>
              <w:t>•</w:t>
            </w:r>
            <w:r w:rsidRPr="007A3A8D">
              <w:rPr>
                <w:rFonts w:asciiTheme="minorHAnsi" w:hAnsiTheme="minorHAnsi" w:cstheme="minorHAnsi"/>
              </w:rPr>
              <w:tab/>
              <w:t xml:space="preserve">Students of all ages studying </w:t>
            </w:r>
            <w:r w:rsidRPr="007A3A8D">
              <w:rPr>
                <w:rFonts w:asciiTheme="minorHAnsi" w:hAnsiTheme="minorHAnsi" w:cstheme="minorHAnsi"/>
                <w:b/>
                <w:bCs/>
              </w:rPr>
              <w:t>part-time</w:t>
            </w:r>
            <w:r w:rsidRPr="007A3A8D">
              <w:rPr>
                <w:rFonts w:asciiTheme="minorHAnsi" w:hAnsiTheme="minorHAnsi" w:cstheme="minorHAnsi"/>
              </w:rPr>
              <w:t>.</w:t>
            </w:r>
          </w:p>
          <w:p w14:paraId="49B94E41" w14:textId="77777777" w:rsidR="007A3A8D" w:rsidRPr="007A3A8D" w:rsidRDefault="007A3A8D" w:rsidP="007A3A8D">
            <w:pPr>
              <w:spacing w:after="120"/>
              <w:rPr>
                <w:rFonts w:asciiTheme="minorHAnsi" w:hAnsiTheme="minorHAnsi" w:cstheme="minorHAnsi"/>
              </w:rPr>
            </w:pPr>
            <w:r w:rsidRPr="007A3A8D">
              <w:rPr>
                <w:rFonts w:asciiTheme="minorHAnsi" w:hAnsiTheme="minorHAnsi" w:cstheme="minorHAnsi"/>
              </w:rPr>
              <w:t>•</w:t>
            </w:r>
            <w:r w:rsidRPr="007A3A8D">
              <w:rPr>
                <w:rFonts w:asciiTheme="minorHAnsi" w:hAnsiTheme="minorHAnsi" w:cstheme="minorHAnsi"/>
              </w:rPr>
              <w:tab/>
              <w:t xml:space="preserve">Students of all ages studying through the </w:t>
            </w:r>
            <w:r w:rsidRPr="007A3A8D">
              <w:rPr>
                <w:rFonts w:asciiTheme="minorHAnsi" w:hAnsiTheme="minorHAnsi" w:cstheme="minorHAnsi"/>
                <w:b/>
                <w:bCs/>
              </w:rPr>
              <w:t>medium of Welsh</w:t>
            </w:r>
            <w:r w:rsidRPr="007A3A8D">
              <w:rPr>
                <w:rFonts w:asciiTheme="minorHAnsi" w:hAnsiTheme="minorHAnsi" w:cstheme="minorHAnsi"/>
              </w:rPr>
              <w:t>.</w:t>
            </w:r>
          </w:p>
          <w:p w14:paraId="64FBFEE9" w14:textId="77777777" w:rsidR="007A3A8D" w:rsidRPr="007A3A8D" w:rsidRDefault="007A3A8D" w:rsidP="007A3A8D">
            <w:pPr>
              <w:spacing w:after="120"/>
              <w:rPr>
                <w:rFonts w:asciiTheme="minorHAnsi" w:hAnsiTheme="minorHAnsi" w:cstheme="minorHAnsi"/>
              </w:rPr>
            </w:pPr>
            <w:r w:rsidRPr="007A3A8D">
              <w:rPr>
                <w:rFonts w:asciiTheme="minorHAnsi" w:hAnsiTheme="minorHAnsi" w:cstheme="minorHAnsi"/>
              </w:rPr>
              <w:t>•</w:t>
            </w:r>
            <w:r w:rsidRPr="007A3A8D">
              <w:rPr>
                <w:rFonts w:asciiTheme="minorHAnsi" w:hAnsiTheme="minorHAnsi" w:cstheme="minorHAnsi"/>
              </w:rPr>
              <w:tab/>
              <w:t xml:space="preserve">People of all ages from </w:t>
            </w:r>
            <w:r w:rsidRPr="007A3A8D">
              <w:rPr>
                <w:rFonts w:asciiTheme="minorHAnsi" w:hAnsiTheme="minorHAnsi" w:cstheme="minorHAnsi"/>
                <w:b/>
                <w:bCs/>
              </w:rPr>
              <w:t>UK low participation in HE</w:t>
            </w:r>
            <w:r w:rsidRPr="007A3A8D">
              <w:rPr>
                <w:rFonts w:asciiTheme="minorHAnsi" w:hAnsiTheme="minorHAnsi" w:cstheme="minorHAnsi"/>
              </w:rPr>
              <w:t xml:space="preserve"> areas (POLAR4).</w:t>
            </w:r>
          </w:p>
          <w:bookmarkEnd w:id="0"/>
          <w:p w14:paraId="326F0EAE" w14:textId="77777777" w:rsidR="007A3A8D" w:rsidRPr="007A3A8D" w:rsidRDefault="007A3A8D" w:rsidP="007A3A8D">
            <w:pPr>
              <w:spacing w:after="120"/>
              <w:rPr>
                <w:rFonts w:asciiTheme="minorHAnsi" w:hAnsiTheme="minorHAnsi" w:cstheme="minorHAnsi"/>
              </w:rPr>
            </w:pPr>
          </w:p>
          <w:p w14:paraId="69930179" w14:textId="77777777" w:rsidR="007A3A8D" w:rsidRPr="007A3A8D" w:rsidRDefault="007A3A8D" w:rsidP="007A3A8D">
            <w:pPr>
              <w:spacing w:after="120"/>
              <w:rPr>
                <w:rFonts w:asciiTheme="minorHAnsi" w:hAnsiTheme="minorHAnsi" w:cstheme="minorHAnsi"/>
              </w:rPr>
            </w:pPr>
            <w:r w:rsidRPr="007A3A8D">
              <w:rPr>
                <w:rFonts w:asciiTheme="minorHAnsi" w:hAnsiTheme="minorHAnsi" w:cstheme="minorHAnsi"/>
              </w:rPr>
              <w:lastRenderedPageBreak/>
              <w:t xml:space="preserve">In addition, </w:t>
            </w:r>
            <w:r w:rsidRPr="007A3A8D">
              <w:rPr>
                <w:rFonts w:asciiTheme="minorHAnsi" w:hAnsiTheme="minorHAnsi" w:cstheme="minorHAnsi"/>
                <w:b/>
                <w:bCs/>
              </w:rPr>
              <w:t>Swansea University</w:t>
            </w:r>
            <w:r w:rsidRPr="007A3A8D">
              <w:rPr>
                <w:rFonts w:asciiTheme="minorHAnsi" w:hAnsiTheme="minorHAnsi" w:cstheme="minorHAnsi"/>
              </w:rPr>
              <w:t xml:space="preserve"> has identified the following under-represented groups:</w:t>
            </w:r>
          </w:p>
          <w:p w14:paraId="47AC7E1C" w14:textId="77777777" w:rsidR="007A3A8D" w:rsidRPr="007A3A8D" w:rsidRDefault="007A3A8D" w:rsidP="007A3A8D">
            <w:pPr>
              <w:spacing w:after="120"/>
              <w:rPr>
                <w:rFonts w:asciiTheme="minorHAnsi" w:hAnsiTheme="minorHAnsi" w:cstheme="minorHAnsi"/>
                <w:b/>
                <w:bCs/>
              </w:rPr>
            </w:pPr>
            <w:r w:rsidRPr="007A3A8D">
              <w:rPr>
                <w:rFonts w:asciiTheme="minorHAnsi" w:hAnsiTheme="minorHAnsi" w:cstheme="minorHAnsi"/>
              </w:rPr>
              <w:t>•</w:t>
            </w:r>
            <w:r w:rsidRPr="007A3A8D">
              <w:rPr>
                <w:rFonts w:asciiTheme="minorHAnsi" w:hAnsiTheme="minorHAnsi" w:cstheme="minorHAnsi"/>
              </w:rPr>
              <w:tab/>
            </w:r>
            <w:bookmarkStart w:id="1" w:name="_Hlk105493460"/>
            <w:r w:rsidRPr="007A3A8D">
              <w:rPr>
                <w:rFonts w:asciiTheme="minorHAnsi" w:hAnsiTheme="minorHAnsi" w:cstheme="minorHAnsi"/>
                <w:b/>
                <w:bCs/>
              </w:rPr>
              <w:t>Care experienced students</w:t>
            </w:r>
          </w:p>
          <w:p w14:paraId="3F6EDB61" w14:textId="77777777" w:rsidR="007A3A8D" w:rsidRPr="007A3A8D" w:rsidRDefault="007A3A8D" w:rsidP="007A3A8D">
            <w:pPr>
              <w:spacing w:after="120"/>
              <w:rPr>
                <w:rFonts w:asciiTheme="minorHAnsi" w:hAnsiTheme="minorHAnsi" w:cstheme="minorHAnsi"/>
                <w:b/>
                <w:bCs/>
              </w:rPr>
            </w:pPr>
            <w:r w:rsidRPr="007A3A8D">
              <w:rPr>
                <w:rFonts w:asciiTheme="minorHAnsi" w:hAnsiTheme="minorHAnsi" w:cstheme="minorHAnsi"/>
                <w:b/>
                <w:bCs/>
              </w:rPr>
              <w:t>•</w:t>
            </w:r>
            <w:r w:rsidRPr="007A3A8D">
              <w:rPr>
                <w:rFonts w:asciiTheme="minorHAnsi" w:hAnsiTheme="minorHAnsi" w:cstheme="minorHAnsi"/>
                <w:b/>
                <w:bCs/>
              </w:rPr>
              <w:tab/>
              <w:t>Students estranged from their parents</w:t>
            </w:r>
          </w:p>
          <w:p w14:paraId="1AE2DE99" w14:textId="77777777" w:rsidR="007A3A8D" w:rsidRPr="007A3A8D" w:rsidRDefault="007A3A8D" w:rsidP="007A3A8D">
            <w:pPr>
              <w:spacing w:after="120"/>
              <w:rPr>
                <w:rFonts w:asciiTheme="minorHAnsi" w:hAnsiTheme="minorHAnsi" w:cstheme="minorHAnsi"/>
              </w:rPr>
            </w:pPr>
            <w:r w:rsidRPr="007A3A8D">
              <w:rPr>
                <w:rFonts w:asciiTheme="minorHAnsi" w:hAnsiTheme="minorHAnsi" w:cstheme="minorHAnsi"/>
                <w:b/>
                <w:bCs/>
              </w:rPr>
              <w:t>•</w:t>
            </w:r>
            <w:r w:rsidRPr="007A3A8D">
              <w:rPr>
                <w:rFonts w:asciiTheme="minorHAnsi" w:hAnsiTheme="minorHAnsi" w:cstheme="minorHAnsi"/>
                <w:b/>
                <w:bCs/>
              </w:rPr>
              <w:tab/>
              <w:t xml:space="preserve">Student carers </w:t>
            </w:r>
            <w:r w:rsidRPr="007A3A8D">
              <w:rPr>
                <w:rFonts w:asciiTheme="minorHAnsi" w:hAnsiTheme="minorHAnsi" w:cstheme="minorHAnsi"/>
              </w:rPr>
              <w:t>(relative or friend excluding children unless they are disabled or have a long-term medical condition)</w:t>
            </w:r>
          </w:p>
          <w:p w14:paraId="0C825C91" w14:textId="77777777" w:rsidR="007A3A8D" w:rsidRPr="007A3A8D" w:rsidRDefault="007A3A8D" w:rsidP="007A3A8D">
            <w:pPr>
              <w:spacing w:after="120"/>
              <w:rPr>
                <w:rFonts w:asciiTheme="minorHAnsi" w:hAnsiTheme="minorHAnsi" w:cstheme="minorHAnsi"/>
                <w:b/>
                <w:bCs/>
              </w:rPr>
            </w:pPr>
            <w:r w:rsidRPr="007A3A8D">
              <w:rPr>
                <w:rFonts w:asciiTheme="minorHAnsi" w:hAnsiTheme="minorHAnsi" w:cstheme="minorHAnsi"/>
                <w:b/>
                <w:bCs/>
              </w:rPr>
              <w:t>•</w:t>
            </w:r>
            <w:r w:rsidRPr="007A3A8D">
              <w:rPr>
                <w:rFonts w:asciiTheme="minorHAnsi" w:hAnsiTheme="minorHAnsi" w:cstheme="minorHAnsi"/>
                <w:b/>
                <w:bCs/>
              </w:rPr>
              <w:tab/>
              <w:t>Mature students aged over 21 on entry</w:t>
            </w:r>
          </w:p>
          <w:p w14:paraId="0025D702" w14:textId="77777777" w:rsidR="007A3A8D" w:rsidRPr="007A3A8D" w:rsidRDefault="007A3A8D" w:rsidP="007A3A8D">
            <w:pPr>
              <w:spacing w:after="120"/>
              <w:rPr>
                <w:rFonts w:asciiTheme="minorHAnsi" w:hAnsiTheme="minorHAnsi" w:cstheme="minorHAnsi"/>
                <w:b/>
                <w:bCs/>
              </w:rPr>
            </w:pPr>
            <w:r w:rsidRPr="007A3A8D">
              <w:rPr>
                <w:rFonts w:asciiTheme="minorHAnsi" w:hAnsiTheme="minorHAnsi" w:cstheme="minorHAnsi"/>
                <w:b/>
                <w:bCs/>
              </w:rPr>
              <w:t>•</w:t>
            </w:r>
            <w:r w:rsidRPr="007A3A8D">
              <w:rPr>
                <w:rFonts w:asciiTheme="minorHAnsi" w:hAnsiTheme="minorHAnsi" w:cstheme="minorHAnsi"/>
                <w:b/>
                <w:bCs/>
              </w:rPr>
              <w:tab/>
              <w:t>Disabled students</w:t>
            </w:r>
          </w:p>
          <w:p w14:paraId="46B62145" w14:textId="77777777" w:rsidR="007A3A8D" w:rsidRPr="007A3A8D" w:rsidRDefault="007A3A8D" w:rsidP="007A3A8D">
            <w:pPr>
              <w:spacing w:after="120"/>
              <w:rPr>
                <w:rFonts w:asciiTheme="minorHAnsi" w:hAnsiTheme="minorHAnsi" w:cstheme="minorHAnsi"/>
                <w:b/>
                <w:bCs/>
              </w:rPr>
            </w:pPr>
            <w:r w:rsidRPr="007A3A8D">
              <w:rPr>
                <w:rFonts w:asciiTheme="minorHAnsi" w:hAnsiTheme="minorHAnsi" w:cstheme="minorHAnsi"/>
                <w:b/>
                <w:bCs/>
              </w:rPr>
              <w:t>•</w:t>
            </w:r>
            <w:r w:rsidRPr="007A3A8D">
              <w:rPr>
                <w:rFonts w:asciiTheme="minorHAnsi" w:hAnsiTheme="minorHAnsi" w:cstheme="minorHAnsi"/>
                <w:b/>
                <w:bCs/>
              </w:rPr>
              <w:tab/>
              <w:t>UK minority ethnic groups</w:t>
            </w:r>
          </w:p>
          <w:p w14:paraId="54274116" w14:textId="77777777" w:rsidR="007A3A8D" w:rsidRPr="007A3A8D" w:rsidRDefault="007A3A8D" w:rsidP="007A3A8D">
            <w:pPr>
              <w:spacing w:after="120"/>
              <w:rPr>
                <w:rFonts w:asciiTheme="minorHAnsi" w:hAnsiTheme="minorHAnsi" w:cstheme="minorHAnsi"/>
                <w:b/>
                <w:bCs/>
              </w:rPr>
            </w:pPr>
            <w:r w:rsidRPr="007A3A8D">
              <w:rPr>
                <w:rFonts w:asciiTheme="minorHAnsi" w:hAnsiTheme="minorHAnsi" w:cstheme="minorHAnsi"/>
                <w:b/>
                <w:bCs/>
              </w:rPr>
              <w:t>•</w:t>
            </w:r>
            <w:r w:rsidRPr="007A3A8D">
              <w:rPr>
                <w:rFonts w:asciiTheme="minorHAnsi" w:hAnsiTheme="minorHAnsi" w:cstheme="minorHAnsi"/>
                <w:b/>
                <w:bCs/>
              </w:rPr>
              <w:tab/>
              <w:t>Asylum Seekers</w:t>
            </w:r>
          </w:p>
          <w:p w14:paraId="00F8DC3C" w14:textId="77777777" w:rsidR="007A3A8D" w:rsidRPr="007A3A8D" w:rsidRDefault="007A3A8D" w:rsidP="007A3A8D">
            <w:pPr>
              <w:spacing w:after="120"/>
              <w:rPr>
                <w:rFonts w:asciiTheme="minorHAnsi" w:hAnsiTheme="minorHAnsi" w:cstheme="minorHAnsi"/>
                <w:b/>
                <w:bCs/>
              </w:rPr>
            </w:pPr>
            <w:r w:rsidRPr="007A3A8D">
              <w:rPr>
                <w:rFonts w:asciiTheme="minorHAnsi" w:hAnsiTheme="minorHAnsi" w:cstheme="minorHAnsi"/>
                <w:b/>
                <w:bCs/>
              </w:rPr>
              <w:t>•</w:t>
            </w:r>
            <w:r w:rsidRPr="007A3A8D">
              <w:rPr>
                <w:rFonts w:asciiTheme="minorHAnsi" w:hAnsiTheme="minorHAnsi" w:cstheme="minorHAnsi"/>
                <w:b/>
                <w:bCs/>
              </w:rPr>
              <w:tab/>
              <w:t>Students from low-income families</w:t>
            </w:r>
          </w:p>
          <w:bookmarkEnd w:id="1"/>
          <w:p w14:paraId="6625AB35" w14:textId="77777777" w:rsidR="007A3A8D" w:rsidRPr="007A3A8D" w:rsidRDefault="007A3A8D" w:rsidP="007A3A8D">
            <w:pPr>
              <w:spacing w:after="120"/>
              <w:rPr>
                <w:rFonts w:asciiTheme="minorHAnsi" w:hAnsiTheme="minorHAnsi" w:cstheme="minorHAnsi"/>
              </w:rPr>
            </w:pPr>
          </w:p>
          <w:p w14:paraId="4E26000C" w14:textId="77777777" w:rsidR="007A3A8D" w:rsidRPr="007A3A8D" w:rsidRDefault="007A3A8D" w:rsidP="007A3A8D">
            <w:pPr>
              <w:spacing w:after="120"/>
              <w:rPr>
                <w:rFonts w:asciiTheme="minorHAnsi" w:hAnsiTheme="minorHAnsi" w:cstheme="minorHAnsi"/>
              </w:rPr>
            </w:pPr>
            <w:r w:rsidRPr="007A3A8D">
              <w:rPr>
                <w:rFonts w:asciiTheme="minorHAnsi" w:hAnsiTheme="minorHAnsi" w:cstheme="minorHAnsi"/>
              </w:rPr>
              <w:t xml:space="preserve">The target groups for the </w:t>
            </w:r>
            <w:r w:rsidRPr="007A3A8D">
              <w:rPr>
                <w:rFonts w:asciiTheme="minorHAnsi" w:hAnsiTheme="minorHAnsi" w:cstheme="minorHAnsi"/>
                <w:b/>
                <w:bCs/>
              </w:rPr>
              <w:t>Institutional contribution to the Reaching Wider Programme</w:t>
            </w:r>
            <w:r w:rsidRPr="007A3A8D">
              <w:rPr>
                <w:rFonts w:asciiTheme="minorHAnsi" w:hAnsiTheme="minorHAnsi" w:cstheme="minorHAnsi"/>
              </w:rPr>
              <w:t xml:space="preserve"> are:</w:t>
            </w:r>
          </w:p>
          <w:p w14:paraId="22DCB1F7" w14:textId="77777777" w:rsidR="007A3A8D" w:rsidRPr="007A3A8D" w:rsidRDefault="007A3A8D" w:rsidP="007A3A8D">
            <w:pPr>
              <w:spacing w:after="120"/>
              <w:rPr>
                <w:rFonts w:asciiTheme="minorHAnsi" w:hAnsiTheme="minorHAnsi" w:cstheme="minorHAnsi"/>
              </w:rPr>
            </w:pPr>
            <w:r w:rsidRPr="007A3A8D">
              <w:rPr>
                <w:rFonts w:asciiTheme="minorHAnsi" w:hAnsiTheme="minorHAnsi" w:cstheme="minorHAnsi"/>
              </w:rPr>
              <w:t>•</w:t>
            </w:r>
            <w:r w:rsidRPr="007A3A8D">
              <w:rPr>
                <w:rFonts w:asciiTheme="minorHAnsi" w:hAnsiTheme="minorHAnsi" w:cstheme="minorHAnsi"/>
              </w:rPr>
              <w:tab/>
            </w:r>
            <w:r w:rsidRPr="007A3A8D">
              <w:rPr>
                <w:rFonts w:asciiTheme="minorHAnsi" w:hAnsiTheme="minorHAnsi" w:cstheme="minorHAnsi"/>
                <w:b/>
                <w:bCs/>
              </w:rPr>
              <w:t>post-16 young people within the bottom two quintiles</w:t>
            </w:r>
            <w:r w:rsidRPr="007A3A8D">
              <w:rPr>
                <w:rFonts w:asciiTheme="minorHAnsi" w:hAnsiTheme="minorHAnsi" w:cstheme="minorHAnsi"/>
              </w:rPr>
              <w:t xml:space="preserve"> of the Welsh Index of Multiple Deprivation</w:t>
            </w:r>
          </w:p>
          <w:p w14:paraId="07A40FE6" w14:textId="77777777" w:rsidR="007A3A8D" w:rsidRPr="007A3A8D" w:rsidRDefault="007A3A8D" w:rsidP="007A3A8D">
            <w:pPr>
              <w:spacing w:after="120"/>
              <w:rPr>
                <w:rFonts w:asciiTheme="minorHAnsi" w:hAnsiTheme="minorHAnsi" w:cstheme="minorHAnsi"/>
              </w:rPr>
            </w:pPr>
            <w:r w:rsidRPr="007A3A8D">
              <w:rPr>
                <w:rFonts w:asciiTheme="minorHAnsi" w:hAnsiTheme="minorHAnsi" w:cstheme="minorHAnsi"/>
              </w:rPr>
              <w:t>•</w:t>
            </w:r>
            <w:r w:rsidRPr="007A3A8D">
              <w:rPr>
                <w:rFonts w:asciiTheme="minorHAnsi" w:hAnsiTheme="minorHAnsi" w:cstheme="minorHAnsi"/>
              </w:rPr>
              <w:tab/>
            </w:r>
            <w:r w:rsidRPr="007A3A8D">
              <w:rPr>
                <w:rFonts w:asciiTheme="minorHAnsi" w:hAnsiTheme="minorHAnsi" w:cstheme="minorHAnsi"/>
                <w:b/>
                <w:bCs/>
              </w:rPr>
              <w:t>adults without level 4 qualifications within the bottom two quintiles of the Welsh Index of Multiple Deprivation</w:t>
            </w:r>
            <w:r w:rsidRPr="007A3A8D">
              <w:rPr>
                <w:rFonts w:asciiTheme="minorHAnsi" w:hAnsiTheme="minorHAnsi" w:cstheme="minorHAnsi"/>
              </w:rPr>
              <w:t>, to provide progression to level 4 provision, and</w:t>
            </w:r>
          </w:p>
          <w:p w14:paraId="1895ABE1" w14:textId="3C02A2C0" w:rsidR="0027704E" w:rsidRPr="00343B5C" w:rsidRDefault="007A3A8D" w:rsidP="007A3A8D">
            <w:pPr>
              <w:spacing w:after="120"/>
            </w:pPr>
            <w:r w:rsidRPr="007A3A8D">
              <w:rPr>
                <w:rFonts w:asciiTheme="minorHAnsi" w:hAnsiTheme="minorHAnsi" w:cstheme="minorHAnsi"/>
              </w:rPr>
              <w:t>•</w:t>
            </w:r>
            <w:r w:rsidRPr="007A3A8D">
              <w:rPr>
                <w:rFonts w:asciiTheme="minorHAnsi" w:hAnsiTheme="minorHAnsi" w:cstheme="minorHAnsi"/>
              </w:rPr>
              <w:tab/>
            </w:r>
            <w:r w:rsidRPr="007A3A8D">
              <w:rPr>
                <w:rFonts w:asciiTheme="minorHAnsi" w:hAnsiTheme="minorHAnsi" w:cstheme="minorHAnsi"/>
                <w:b/>
                <w:bCs/>
              </w:rPr>
              <w:t>care experienced applicants and carers</w:t>
            </w:r>
            <w:r w:rsidRPr="007A3A8D">
              <w:rPr>
                <w:rFonts w:asciiTheme="minorHAnsi" w:hAnsiTheme="minorHAnsi" w:cstheme="minorHAnsi"/>
              </w:rPr>
              <w:t xml:space="preserve"> in all age groups across Wales.</w:t>
            </w:r>
          </w:p>
        </w:tc>
      </w:tr>
      <w:tr w:rsidR="0027704E" w:rsidRPr="00343B5C" w14:paraId="55B61756" w14:textId="77777777" w:rsidTr="00215C7B">
        <w:trPr>
          <w:trHeight w:val="154"/>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48129D" w14:textId="77777777" w:rsidR="0027704E" w:rsidRPr="00343B5C" w:rsidRDefault="0027704E" w:rsidP="0027704E">
            <w:pPr>
              <w:pStyle w:val="Heading2"/>
              <w:jc w:val="center"/>
              <w:rPr>
                <w:b/>
              </w:rPr>
            </w:pPr>
            <w:r w:rsidRPr="00343B5C">
              <w:rPr>
                <w:b/>
              </w:rPr>
              <w:lastRenderedPageBreak/>
              <w:t xml:space="preserve">Section 4 </w:t>
            </w:r>
            <w:r>
              <w:rPr>
                <w:b/>
              </w:rPr>
              <w:t>–</w:t>
            </w:r>
            <w:r w:rsidRPr="00343B5C">
              <w:rPr>
                <w:b/>
              </w:rPr>
              <w:t xml:space="preserve"> Objectives</w:t>
            </w:r>
            <w:r>
              <w:rPr>
                <w:b/>
              </w:rPr>
              <w:t xml:space="preserve"> </w:t>
            </w:r>
            <w:r w:rsidRPr="00343B5C">
              <w:rPr>
                <w:b/>
              </w:rPr>
              <w:t xml:space="preserve">as they relate to supporting equality of opportunity and the promotion </w:t>
            </w:r>
            <w:proofErr w:type="gramStart"/>
            <w:r w:rsidRPr="00343B5C">
              <w:rPr>
                <w:b/>
              </w:rPr>
              <w:t>of</w:t>
            </w:r>
            <w:proofErr w:type="gramEnd"/>
            <w:r w:rsidRPr="00343B5C">
              <w:rPr>
                <w:b/>
              </w:rPr>
              <w:t xml:space="preserve"> HE</w:t>
            </w:r>
          </w:p>
          <w:p w14:paraId="3EFEF2D1" w14:textId="2015390B" w:rsidR="0027704E" w:rsidRPr="00343B5C" w:rsidRDefault="0027704E" w:rsidP="0027704E">
            <w:pPr>
              <w:jc w:val="center"/>
              <w:rPr>
                <w:b/>
              </w:rPr>
            </w:pPr>
          </w:p>
        </w:tc>
      </w:tr>
      <w:tr w:rsidR="0027704E" w:rsidRPr="00343B5C" w14:paraId="2CE00778" w14:textId="77777777" w:rsidTr="00215C7B">
        <w:trPr>
          <w:trHeight w:val="26"/>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A2F29" w14:textId="77777777" w:rsidR="0027704E" w:rsidRPr="00343B5C" w:rsidRDefault="0027704E" w:rsidP="0027704E">
            <w:pPr>
              <w:pStyle w:val="Heading3"/>
              <w:jc w:val="center"/>
              <w:rPr>
                <w:rFonts w:cs="Arial"/>
                <w:b/>
                <w:color w:val="auto"/>
              </w:rPr>
            </w:pPr>
            <w:r w:rsidRPr="00343B5C">
              <w:rPr>
                <w:rFonts w:ascii="Arial" w:hAnsi="Arial" w:cs="Arial"/>
                <w:b/>
                <w:color w:val="auto"/>
              </w:rPr>
              <w:t>Section 4.1 - Equality of Opportunity</w:t>
            </w:r>
          </w:p>
        </w:tc>
      </w:tr>
      <w:tr w:rsidR="0027704E" w:rsidRPr="00343B5C" w14:paraId="58F3EF25" w14:textId="77777777" w:rsidTr="00215C7B">
        <w:trPr>
          <w:trHeight w:val="578"/>
        </w:trPr>
        <w:tc>
          <w:tcPr>
            <w:tcW w:w="3120" w:type="dxa"/>
            <w:tcBorders>
              <w:top w:val="single" w:sz="4" w:space="0" w:color="auto"/>
              <w:left w:val="single" w:sz="4" w:space="0" w:color="auto"/>
              <w:bottom w:val="single" w:sz="4" w:space="0" w:color="auto"/>
              <w:right w:val="single" w:sz="4" w:space="0" w:color="auto"/>
            </w:tcBorders>
            <w:vAlign w:val="center"/>
          </w:tcPr>
          <w:p w14:paraId="298B5CB0" w14:textId="2A98DE3B" w:rsidR="0027704E" w:rsidRPr="007A3A8D" w:rsidRDefault="007A3A8D" w:rsidP="0027704E">
            <w:pPr>
              <w:spacing w:after="120"/>
              <w:ind w:left="33" w:firstLine="0"/>
              <w:jc w:val="center"/>
              <w:rPr>
                <w:rFonts w:asciiTheme="minorHAnsi" w:hAnsiTheme="minorHAnsi" w:cstheme="minorHAnsi"/>
              </w:rPr>
            </w:pPr>
            <w:r w:rsidRPr="007A3A8D">
              <w:rPr>
                <w:rFonts w:asciiTheme="minorHAnsi" w:hAnsiTheme="minorHAnsi" w:cstheme="minorHAnsi"/>
              </w:rPr>
              <w:t>EOP1</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44B46E30" w14:textId="0BE6F629" w:rsidR="0027704E" w:rsidRPr="00A014F0" w:rsidRDefault="007A3A8D" w:rsidP="0027704E">
            <w:pPr>
              <w:pStyle w:val="Default"/>
              <w:ind w:left="477" w:hanging="431"/>
              <w:rPr>
                <w:color w:val="auto"/>
              </w:rPr>
            </w:pPr>
            <w:r w:rsidRPr="00491CAF">
              <w:rPr>
                <w:rFonts w:asciiTheme="minorHAnsi" w:hAnsiTheme="minorHAnsi" w:cstheme="minorHAnsi"/>
                <w:b/>
                <w:color w:val="0F243E" w:themeColor="text2" w:themeShade="80"/>
              </w:rPr>
              <w:t xml:space="preserve">Attract: </w:t>
            </w:r>
            <w:r w:rsidRPr="001D4577">
              <w:rPr>
                <w:rFonts w:asciiTheme="minorHAnsi" w:hAnsiTheme="minorHAnsi" w:cstheme="minorHAnsi"/>
              </w:rPr>
              <w:t xml:space="preserve">Inspire and recruit </w:t>
            </w:r>
            <w:r w:rsidRPr="00DC0C61">
              <w:rPr>
                <w:rFonts w:asciiTheme="minorHAnsi" w:hAnsiTheme="minorHAnsi" w:cstheme="minorHAnsi"/>
              </w:rPr>
              <w:t xml:space="preserve">more </w:t>
            </w:r>
            <w:r w:rsidRPr="001D4577">
              <w:rPr>
                <w:rFonts w:asciiTheme="minorHAnsi" w:hAnsiTheme="minorHAnsi" w:cstheme="minorHAnsi"/>
              </w:rPr>
              <w:t>students from under-represented groups to study at Swansea University</w:t>
            </w:r>
            <w:r>
              <w:rPr>
                <w:rFonts w:asciiTheme="minorHAnsi" w:hAnsiTheme="minorHAnsi" w:cstheme="minorHAnsi"/>
              </w:rPr>
              <w:t>.</w:t>
            </w:r>
          </w:p>
        </w:tc>
      </w:tr>
      <w:tr w:rsidR="0027704E" w:rsidRPr="00343B5C" w14:paraId="12BAE1AD" w14:textId="77777777" w:rsidTr="00215C7B">
        <w:trPr>
          <w:trHeight w:val="578"/>
        </w:trPr>
        <w:tc>
          <w:tcPr>
            <w:tcW w:w="3120" w:type="dxa"/>
            <w:tcBorders>
              <w:top w:val="single" w:sz="4" w:space="0" w:color="auto"/>
              <w:left w:val="single" w:sz="4" w:space="0" w:color="auto"/>
              <w:bottom w:val="single" w:sz="4" w:space="0" w:color="auto"/>
              <w:right w:val="single" w:sz="4" w:space="0" w:color="auto"/>
            </w:tcBorders>
            <w:vAlign w:val="center"/>
          </w:tcPr>
          <w:p w14:paraId="212A3D3A" w14:textId="55A43DB8" w:rsidR="0027704E" w:rsidRPr="007A3A8D" w:rsidRDefault="007A3A8D" w:rsidP="0027704E">
            <w:pPr>
              <w:spacing w:after="120"/>
              <w:ind w:left="33" w:firstLine="0"/>
              <w:jc w:val="center"/>
              <w:rPr>
                <w:rFonts w:asciiTheme="minorHAnsi" w:hAnsiTheme="minorHAnsi" w:cstheme="minorHAnsi"/>
              </w:rPr>
            </w:pPr>
            <w:r w:rsidRPr="007A3A8D">
              <w:rPr>
                <w:rFonts w:asciiTheme="minorHAnsi" w:hAnsiTheme="minorHAnsi" w:cstheme="minorHAnsi"/>
              </w:rPr>
              <w:t>EOP2</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345A9961" w14:textId="4A1D5EA3" w:rsidR="0027704E" w:rsidRPr="00343B5C" w:rsidRDefault="007A3A8D" w:rsidP="0027704E">
            <w:pPr>
              <w:spacing w:after="120"/>
              <w:ind w:left="188" w:hanging="142"/>
            </w:pPr>
            <w:r w:rsidRPr="001D4577">
              <w:rPr>
                <w:rFonts w:asciiTheme="minorHAnsi" w:hAnsiTheme="minorHAnsi" w:cstheme="minorHAnsi"/>
                <w:szCs w:val="24"/>
              </w:rPr>
              <w:t xml:space="preserve">Ensure students from under-represented groups are provided with </w:t>
            </w:r>
            <w:r w:rsidRPr="00491CAF">
              <w:rPr>
                <w:rFonts w:asciiTheme="minorHAnsi" w:hAnsiTheme="minorHAnsi" w:cstheme="minorHAnsi"/>
                <w:b/>
                <w:color w:val="0F243E" w:themeColor="text2" w:themeShade="80"/>
                <w:szCs w:val="24"/>
              </w:rPr>
              <w:t>effective information</w:t>
            </w:r>
            <w:r w:rsidRPr="00491CAF">
              <w:rPr>
                <w:rFonts w:asciiTheme="minorHAnsi" w:hAnsiTheme="minorHAnsi" w:cstheme="minorHAnsi"/>
                <w:color w:val="0F243E" w:themeColor="text2" w:themeShade="80"/>
                <w:szCs w:val="24"/>
              </w:rPr>
              <w:t xml:space="preserve"> </w:t>
            </w:r>
            <w:r w:rsidRPr="001D4577">
              <w:rPr>
                <w:rFonts w:asciiTheme="minorHAnsi" w:hAnsiTheme="minorHAnsi" w:cstheme="minorHAnsi"/>
                <w:szCs w:val="24"/>
              </w:rPr>
              <w:t>(including information on financial assistance) before and after they decide to study at the University</w:t>
            </w:r>
            <w:r w:rsidRPr="007A3A8D">
              <w:rPr>
                <w:szCs w:val="24"/>
              </w:rPr>
              <w:t>.</w:t>
            </w:r>
          </w:p>
        </w:tc>
      </w:tr>
      <w:tr w:rsidR="0027704E" w:rsidRPr="00343B5C" w14:paraId="2885BB0A" w14:textId="77777777" w:rsidTr="00215C7B">
        <w:trPr>
          <w:trHeight w:val="578"/>
        </w:trPr>
        <w:tc>
          <w:tcPr>
            <w:tcW w:w="3120" w:type="dxa"/>
            <w:tcBorders>
              <w:top w:val="single" w:sz="4" w:space="0" w:color="auto"/>
              <w:left w:val="single" w:sz="4" w:space="0" w:color="auto"/>
              <w:bottom w:val="single" w:sz="4" w:space="0" w:color="auto"/>
              <w:right w:val="single" w:sz="4" w:space="0" w:color="auto"/>
            </w:tcBorders>
            <w:vAlign w:val="center"/>
          </w:tcPr>
          <w:p w14:paraId="26706F9C" w14:textId="21054D88" w:rsidR="0027704E" w:rsidRPr="007A3A8D" w:rsidRDefault="007A3A8D" w:rsidP="0027704E">
            <w:pPr>
              <w:spacing w:after="120"/>
              <w:ind w:left="33" w:firstLine="0"/>
              <w:jc w:val="center"/>
              <w:rPr>
                <w:rFonts w:asciiTheme="minorHAnsi" w:hAnsiTheme="minorHAnsi" w:cstheme="minorHAnsi"/>
              </w:rPr>
            </w:pPr>
            <w:r w:rsidRPr="007A3A8D">
              <w:rPr>
                <w:rFonts w:asciiTheme="minorHAnsi" w:hAnsiTheme="minorHAnsi" w:cstheme="minorHAnsi"/>
              </w:rPr>
              <w:lastRenderedPageBreak/>
              <w:t>EOP3</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7ACD1403" w14:textId="005CA128" w:rsidR="0027704E" w:rsidRPr="00343B5C" w:rsidRDefault="007A3A8D" w:rsidP="0027704E">
            <w:pPr>
              <w:spacing w:after="120"/>
              <w:ind w:left="46" w:firstLine="0"/>
            </w:pPr>
            <w:r w:rsidRPr="00491CAF">
              <w:rPr>
                <w:rFonts w:asciiTheme="minorHAnsi" w:hAnsiTheme="minorHAnsi" w:cstheme="minorHAnsi"/>
                <w:b/>
                <w:color w:val="0F243E" w:themeColor="text2" w:themeShade="80"/>
                <w:szCs w:val="24"/>
              </w:rPr>
              <w:t xml:space="preserve">Progression and Retention: </w:t>
            </w:r>
            <w:r w:rsidRPr="00593262">
              <w:rPr>
                <w:rFonts w:asciiTheme="minorHAnsi" w:hAnsiTheme="minorHAnsi" w:cstheme="minorHAnsi"/>
                <w:szCs w:val="24"/>
              </w:rPr>
              <w:t>Deliver inclusive academic, welfare and financial support for students from under-represented groups supporting them to progression through and complete their studies.</w:t>
            </w:r>
          </w:p>
        </w:tc>
      </w:tr>
      <w:tr w:rsidR="007A3A8D" w:rsidRPr="00343B5C" w14:paraId="61B9FBE5" w14:textId="77777777" w:rsidTr="00215C7B">
        <w:trPr>
          <w:trHeight w:val="578"/>
        </w:trPr>
        <w:tc>
          <w:tcPr>
            <w:tcW w:w="3120" w:type="dxa"/>
            <w:tcBorders>
              <w:top w:val="single" w:sz="4" w:space="0" w:color="auto"/>
              <w:left w:val="single" w:sz="4" w:space="0" w:color="auto"/>
              <w:bottom w:val="single" w:sz="4" w:space="0" w:color="auto"/>
              <w:right w:val="single" w:sz="4" w:space="0" w:color="auto"/>
            </w:tcBorders>
            <w:vAlign w:val="center"/>
          </w:tcPr>
          <w:p w14:paraId="1CD9703A" w14:textId="4FF92989" w:rsidR="007A3A8D" w:rsidRPr="007A3A8D" w:rsidRDefault="007A3A8D" w:rsidP="0027704E">
            <w:pPr>
              <w:spacing w:after="120"/>
              <w:ind w:left="33" w:firstLine="0"/>
              <w:jc w:val="center"/>
              <w:rPr>
                <w:rFonts w:asciiTheme="minorHAnsi" w:hAnsiTheme="minorHAnsi" w:cstheme="minorHAnsi"/>
              </w:rPr>
            </w:pPr>
            <w:r w:rsidRPr="007A3A8D">
              <w:rPr>
                <w:rFonts w:asciiTheme="minorHAnsi" w:hAnsiTheme="minorHAnsi" w:cstheme="minorHAnsi"/>
              </w:rPr>
              <w:t>EOP4</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5CB3330A" w14:textId="61923DA5" w:rsidR="007A3A8D" w:rsidRPr="00343B5C" w:rsidRDefault="007A3A8D" w:rsidP="0027704E">
            <w:pPr>
              <w:spacing w:after="120"/>
              <w:ind w:left="0" w:firstLine="0"/>
              <w:rPr>
                <w:szCs w:val="24"/>
              </w:rPr>
            </w:pPr>
            <w:r w:rsidRPr="00491CAF">
              <w:rPr>
                <w:rFonts w:asciiTheme="minorHAnsi" w:hAnsiTheme="minorHAnsi" w:cstheme="minorHAnsi"/>
                <w:b/>
                <w:color w:val="0F243E" w:themeColor="text2" w:themeShade="80"/>
                <w:szCs w:val="24"/>
              </w:rPr>
              <w:t xml:space="preserve">Outcomes: </w:t>
            </w:r>
            <w:r w:rsidRPr="001D4577">
              <w:rPr>
                <w:rFonts w:asciiTheme="minorHAnsi" w:hAnsiTheme="minorHAnsi" w:cstheme="minorHAnsi"/>
                <w:szCs w:val="24"/>
              </w:rPr>
              <w:t xml:space="preserve">Support </w:t>
            </w:r>
            <w:r w:rsidRPr="00DC0C61">
              <w:rPr>
                <w:rFonts w:asciiTheme="minorHAnsi" w:hAnsiTheme="minorHAnsi" w:cstheme="minorHAnsi"/>
                <w:szCs w:val="24"/>
              </w:rPr>
              <w:t xml:space="preserve">more students </w:t>
            </w:r>
            <w:r w:rsidRPr="001D4577">
              <w:rPr>
                <w:rFonts w:asciiTheme="minorHAnsi" w:hAnsiTheme="minorHAnsi" w:cstheme="minorHAnsi"/>
                <w:szCs w:val="24"/>
              </w:rPr>
              <w:t>from under-represented groups to achieve positive outcomes in HE leading to employment or further study.</w:t>
            </w:r>
          </w:p>
        </w:tc>
      </w:tr>
      <w:tr w:rsidR="0027704E" w:rsidRPr="00343B5C" w14:paraId="20DC642B" w14:textId="77777777" w:rsidTr="00215C7B">
        <w:trPr>
          <w:trHeight w:val="16"/>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654387" w14:textId="77777777" w:rsidR="0027704E" w:rsidRPr="00343B5C" w:rsidRDefault="0027704E" w:rsidP="0027704E">
            <w:pPr>
              <w:pStyle w:val="Heading3"/>
              <w:jc w:val="center"/>
              <w:rPr>
                <w:rFonts w:cs="Arial"/>
                <w:b/>
                <w:color w:val="auto"/>
              </w:rPr>
            </w:pPr>
            <w:r w:rsidRPr="00343B5C">
              <w:rPr>
                <w:rFonts w:ascii="Arial" w:hAnsi="Arial" w:cs="Arial"/>
                <w:b/>
                <w:color w:val="auto"/>
              </w:rPr>
              <w:t>Section 4.2 - Promotion of higher education</w:t>
            </w:r>
          </w:p>
        </w:tc>
      </w:tr>
      <w:tr w:rsidR="0027704E" w:rsidRPr="00343B5C" w14:paraId="5E55A221" w14:textId="77777777" w:rsidTr="00215C7B">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41FB7C18" w14:textId="5BCB583D" w:rsidR="0027704E" w:rsidRPr="00343B5C" w:rsidRDefault="007A3A8D" w:rsidP="0027704E">
            <w:pPr>
              <w:ind w:left="34" w:firstLine="0"/>
              <w:jc w:val="center"/>
            </w:pPr>
            <w:r>
              <w:rPr>
                <w:rFonts w:asciiTheme="minorHAnsi" w:hAnsiTheme="minorHAnsi" w:cstheme="minorHAnsi"/>
              </w:rPr>
              <w:t>POHE1</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67D48094" w14:textId="3879207F" w:rsidR="0027704E" w:rsidRPr="00343B5C" w:rsidRDefault="007A3A8D" w:rsidP="0027704E">
            <w:pPr>
              <w:spacing w:after="120"/>
              <w:ind w:left="0" w:firstLine="0"/>
            </w:pPr>
            <w:r w:rsidRPr="00491CAF">
              <w:rPr>
                <w:rFonts w:asciiTheme="minorHAnsi" w:hAnsiTheme="minorHAnsi" w:cstheme="minorHAnsi"/>
                <w:b/>
                <w:color w:val="0F243E" w:themeColor="text2" w:themeShade="80"/>
                <w:szCs w:val="24"/>
              </w:rPr>
              <w:t>Regional Strategic Partnerships:</w:t>
            </w:r>
            <w:r w:rsidRPr="00491CAF">
              <w:rPr>
                <w:rFonts w:asciiTheme="minorHAnsi" w:hAnsiTheme="minorHAnsi" w:cstheme="minorHAnsi"/>
                <w:color w:val="0F243E" w:themeColor="text2" w:themeShade="80"/>
                <w:szCs w:val="24"/>
              </w:rPr>
              <w:t xml:space="preserve"> </w:t>
            </w:r>
            <w:r w:rsidRPr="001D4577">
              <w:rPr>
                <w:rFonts w:asciiTheme="minorHAnsi" w:hAnsiTheme="minorHAnsi" w:cstheme="minorHAnsi"/>
                <w:szCs w:val="24"/>
              </w:rPr>
              <w:t xml:space="preserve">Deliver partnerships within Wales that deliver the Institutions HE </w:t>
            </w:r>
            <w:proofErr w:type="gramStart"/>
            <w:r w:rsidRPr="001D4577">
              <w:rPr>
                <w:rFonts w:asciiTheme="minorHAnsi" w:hAnsiTheme="minorHAnsi" w:cstheme="minorHAnsi"/>
                <w:szCs w:val="24"/>
              </w:rPr>
              <w:t>mission</w:t>
            </w:r>
            <w:proofErr w:type="gramEnd"/>
            <w:r w:rsidRPr="001D4577">
              <w:rPr>
                <w:rFonts w:asciiTheme="minorHAnsi" w:hAnsiTheme="minorHAnsi" w:cstheme="minorHAnsi"/>
                <w:szCs w:val="24"/>
              </w:rPr>
              <w:t>, expand opportunities for students and advances our Civic Mission aspirations.</w:t>
            </w:r>
          </w:p>
        </w:tc>
      </w:tr>
      <w:tr w:rsidR="0027704E" w:rsidRPr="00343B5C" w14:paraId="1811E169" w14:textId="77777777" w:rsidTr="00215C7B">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1639A934" w14:textId="392CB348" w:rsidR="0027704E" w:rsidRPr="00343B5C" w:rsidRDefault="007A3A8D" w:rsidP="0027704E">
            <w:pPr>
              <w:ind w:left="34" w:firstLine="0"/>
              <w:jc w:val="center"/>
            </w:pPr>
            <w:r>
              <w:rPr>
                <w:rFonts w:asciiTheme="minorHAnsi" w:hAnsiTheme="minorHAnsi" w:cstheme="minorHAnsi"/>
              </w:rPr>
              <w:t>POHE2</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3D1CE1DE" w14:textId="5C6B010F" w:rsidR="0027704E" w:rsidRPr="007A3A8D" w:rsidRDefault="007A3A8D" w:rsidP="007A3A8D">
            <w:pPr>
              <w:spacing w:after="120"/>
              <w:ind w:left="0" w:firstLine="0"/>
              <w:rPr>
                <w:rFonts w:asciiTheme="minorHAnsi" w:hAnsiTheme="minorHAnsi" w:cstheme="minorHAnsi"/>
                <w:b/>
                <w:color w:val="0F243E" w:themeColor="text2" w:themeShade="80"/>
                <w:szCs w:val="24"/>
              </w:rPr>
            </w:pPr>
            <w:r w:rsidRPr="00491CAF">
              <w:rPr>
                <w:rFonts w:asciiTheme="minorHAnsi" w:hAnsiTheme="minorHAnsi" w:cstheme="minorHAnsi"/>
                <w:b/>
                <w:color w:val="0F243E" w:themeColor="text2" w:themeShade="80"/>
                <w:szCs w:val="24"/>
              </w:rPr>
              <w:t xml:space="preserve">Student Experience: </w:t>
            </w:r>
            <w:r w:rsidRPr="007A3A8D">
              <w:rPr>
                <w:rFonts w:asciiTheme="minorHAnsi" w:hAnsiTheme="minorHAnsi" w:cstheme="minorHAnsi"/>
                <w:bCs/>
                <w:color w:val="0F243E" w:themeColor="text2" w:themeShade="80"/>
                <w:szCs w:val="24"/>
              </w:rPr>
              <w:t>Deliver services, facilities and activities that enhance the student experience including improvements to the quality of teaching.</w:t>
            </w:r>
          </w:p>
        </w:tc>
      </w:tr>
      <w:tr w:rsidR="0027704E" w:rsidRPr="00343B5C" w14:paraId="0A93ED11" w14:textId="77777777" w:rsidTr="00215C7B">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010131DF" w14:textId="6318CE63" w:rsidR="0027704E" w:rsidRPr="00343B5C" w:rsidRDefault="007A3A8D" w:rsidP="0027704E">
            <w:pPr>
              <w:ind w:left="34" w:firstLine="0"/>
              <w:jc w:val="center"/>
            </w:pPr>
            <w:r>
              <w:rPr>
                <w:rFonts w:asciiTheme="minorHAnsi" w:hAnsiTheme="minorHAnsi" w:cstheme="minorHAnsi"/>
              </w:rPr>
              <w:t>POHE3</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25E2D862" w14:textId="52579B29" w:rsidR="0027704E" w:rsidRPr="00343B5C" w:rsidRDefault="007A3A8D" w:rsidP="0027704E">
            <w:pPr>
              <w:spacing w:after="120"/>
              <w:ind w:left="0" w:firstLine="0"/>
            </w:pPr>
            <w:r w:rsidRPr="00491CAF">
              <w:rPr>
                <w:rFonts w:asciiTheme="minorHAnsi" w:hAnsiTheme="minorHAnsi" w:cstheme="minorHAnsi"/>
                <w:b/>
                <w:color w:val="0F243E" w:themeColor="text2" w:themeShade="80"/>
                <w:szCs w:val="24"/>
              </w:rPr>
              <w:t>Employability:</w:t>
            </w:r>
            <w:r w:rsidRPr="00491CAF">
              <w:rPr>
                <w:rFonts w:asciiTheme="minorHAnsi" w:hAnsiTheme="minorHAnsi" w:cstheme="minorHAnsi"/>
                <w:color w:val="0F243E" w:themeColor="text2" w:themeShade="80"/>
                <w:szCs w:val="24"/>
              </w:rPr>
              <w:t xml:space="preserve"> </w:t>
            </w:r>
            <w:r w:rsidRPr="001D4577">
              <w:rPr>
                <w:rFonts w:asciiTheme="minorHAnsi" w:hAnsiTheme="minorHAnsi" w:cstheme="minorHAnsi"/>
                <w:szCs w:val="24"/>
              </w:rPr>
              <w:t>Provide services, support and activities for students in partnership with employers that strengthen the employability of Welsh Graduates</w:t>
            </w:r>
            <w:r>
              <w:rPr>
                <w:rFonts w:asciiTheme="minorHAnsi" w:hAnsiTheme="minorHAnsi" w:cstheme="minorHAnsi"/>
                <w:szCs w:val="24"/>
              </w:rPr>
              <w:t>.</w:t>
            </w:r>
          </w:p>
        </w:tc>
      </w:tr>
      <w:tr w:rsidR="007A3A8D" w:rsidRPr="00343B5C" w14:paraId="24CDC99D" w14:textId="77777777" w:rsidTr="00215C7B">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40A87780" w14:textId="7A6E417A" w:rsidR="007A3A8D" w:rsidRDefault="007A3A8D" w:rsidP="007A3A8D">
            <w:pPr>
              <w:ind w:left="34" w:firstLine="0"/>
              <w:jc w:val="center"/>
              <w:rPr>
                <w:rFonts w:asciiTheme="minorHAnsi" w:hAnsiTheme="minorHAnsi" w:cstheme="minorHAnsi"/>
              </w:rPr>
            </w:pPr>
            <w:r>
              <w:rPr>
                <w:rFonts w:asciiTheme="minorHAnsi" w:hAnsiTheme="minorHAnsi" w:cstheme="minorHAnsi"/>
              </w:rPr>
              <w:t>POHE4</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19FD485D" w14:textId="45777168" w:rsidR="007A3A8D" w:rsidRPr="00343B5C" w:rsidRDefault="007A3A8D" w:rsidP="0027704E">
            <w:pPr>
              <w:spacing w:after="120"/>
              <w:ind w:left="0" w:firstLine="0"/>
            </w:pPr>
            <w:r w:rsidRPr="00491CAF">
              <w:rPr>
                <w:rFonts w:asciiTheme="minorHAnsi" w:hAnsiTheme="minorHAnsi" w:cstheme="minorHAnsi"/>
                <w:b/>
                <w:color w:val="0F243E" w:themeColor="text2" w:themeShade="80"/>
                <w:szCs w:val="24"/>
              </w:rPr>
              <w:t>Internationalisation:</w:t>
            </w:r>
            <w:r w:rsidRPr="00491CAF">
              <w:rPr>
                <w:rFonts w:asciiTheme="minorHAnsi" w:hAnsiTheme="minorHAnsi" w:cstheme="minorHAnsi"/>
                <w:color w:val="0F243E" w:themeColor="text2" w:themeShade="80"/>
                <w:szCs w:val="24"/>
              </w:rPr>
              <w:t xml:space="preserve"> </w:t>
            </w:r>
            <w:r w:rsidRPr="001D4577">
              <w:rPr>
                <w:rFonts w:asciiTheme="minorHAnsi" w:hAnsiTheme="minorHAnsi" w:cstheme="minorHAnsi"/>
                <w:szCs w:val="24"/>
              </w:rPr>
              <w:t>Deliver services and activities that promote Welsh HE internationally leading to greater international student recruitment and international partnerships.</w:t>
            </w:r>
          </w:p>
        </w:tc>
      </w:tr>
      <w:tr w:rsidR="007A3A8D" w:rsidRPr="00343B5C" w14:paraId="3B5CB5C6" w14:textId="77777777" w:rsidTr="00215C7B">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24083CBE" w14:textId="1CCDD942" w:rsidR="007A3A8D" w:rsidRDefault="007A3A8D" w:rsidP="0027704E">
            <w:pPr>
              <w:ind w:left="34" w:firstLine="0"/>
              <w:jc w:val="center"/>
              <w:rPr>
                <w:rFonts w:asciiTheme="minorHAnsi" w:hAnsiTheme="minorHAnsi" w:cstheme="minorHAnsi"/>
              </w:rPr>
            </w:pPr>
            <w:r>
              <w:rPr>
                <w:rFonts w:asciiTheme="minorHAnsi" w:hAnsiTheme="minorHAnsi" w:cstheme="minorHAnsi"/>
              </w:rPr>
              <w:t>POHE5</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6B0F0C6E" w14:textId="7F3EE15B" w:rsidR="007A3A8D" w:rsidRPr="00343B5C" w:rsidRDefault="007A3A8D" w:rsidP="0027704E">
            <w:pPr>
              <w:spacing w:after="120"/>
              <w:ind w:left="0" w:firstLine="0"/>
            </w:pPr>
            <w:r w:rsidRPr="00491CAF">
              <w:rPr>
                <w:rFonts w:asciiTheme="minorHAnsi" w:hAnsiTheme="minorHAnsi" w:cstheme="minorHAnsi"/>
                <w:b/>
                <w:color w:val="0F243E" w:themeColor="text2" w:themeShade="80"/>
                <w:szCs w:val="24"/>
              </w:rPr>
              <w:t xml:space="preserve">Raise awareness </w:t>
            </w:r>
            <w:r w:rsidRPr="001D4577">
              <w:rPr>
                <w:rFonts w:asciiTheme="minorHAnsi" w:hAnsiTheme="minorHAnsi" w:cstheme="minorHAnsi"/>
                <w:szCs w:val="24"/>
              </w:rPr>
              <w:t>of the value of Higher Education to potential students generally.</w:t>
            </w:r>
          </w:p>
        </w:tc>
      </w:tr>
    </w:tbl>
    <w:p w14:paraId="67FA4C66" w14:textId="77777777" w:rsidR="00A014F0" w:rsidRPr="00A014F0" w:rsidRDefault="00A014F0" w:rsidP="00A014F0"/>
    <w:p w14:paraId="468E0995" w14:textId="77777777" w:rsidR="00A014F0" w:rsidRDefault="00A014F0" w:rsidP="0060478F">
      <w:pPr>
        <w:pStyle w:val="Heading1"/>
        <w:ind w:left="357" w:firstLine="0"/>
        <w:rPr>
          <w:rFonts w:ascii="Arial" w:hAnsi="Arial" w:cs="Arial"/>
          <w:b/>
          <w:color w:val="auto"/>
        </w:rPr>
      </w:pPr>
    </w:p>
    <w:p w14:paraId="521284F3" w14:textId="77777777" w:rsidR="00A014F0" w:rsidRDefault="00A014F0" w:rsidP="007779E1">
      <w:pPr>
        <w:ind w:left="0" w:firstLine="0"/>
        <w:jc w:val="center"/>
        <w:rPr>
          <w:b/>
          <w:sz w:val="32"/>
          <w:szCs w:val="32"/>
        </w:rPr>
      </w:pPr>
    </w:p>
    <w:p w14:paraId="2B8346BB" w14:textId="77777777" w:rsidR="00A014F0" w:rsidRDefault="00A014F0" w:rsidP="007779E1">
      <w:pPr>
        <w:ind w:left="0" w:firstLine="0"/>
        <w:jc w:val="center"/>
        <w:rPr>
          <w:b/>
          <w:sz w:val="32"/>
          <w:szCs w:val="32"/>
        </w:rPr>
      </w:pPr>
    </w:p>
    <w:p w14:paraId="663D2F5A" w14:textId="77777777" w:rsidR="00A014F0" w:rsidRDefault="00A014F0" w:rsidP="007779E1">
      <w:pPr>
        <w:ind w:left="0" w:firstLine="0"/>
        <w:jc w:val="center"/>
        <w:rPr>
          <w:b/>
          <w:sz w:val="32"/>
          <w:szCs w:val="32"/>
        </w:rPr>
      </w:pPr>
    </w:p>
    <w:p w14:paraId="59A0414B" w14:textId="77777777" w:rsidR="00A014F0" w:rsidRDefault="00A014F0" w:rsidP="00C946FC">
      <w:pPr>
        <w:ind w:left="0" w:firstLine="0"/>
        <w:rPr>
          <w:b/>
          <w:sz w:val="32"/>
          <w:szCs w:val="32"/>
        </w:rPr>
      </w:pPr>
    </w:p>
    <w:sectPr w:rsidR="00A014F0" w:rsidSect="00FB47F0">
      <w:headerReference w:type="default" r:id="rId11"/>
      <w:footerReference w:type="default" r:id="rId12"/>
      <w:pgSz w:w="16838" w:h="11906" w:orient="landscape"/>
      <w:pgMar w:top="284" w:right="85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AEA0" w14:textId="77777777" w:rsidR="00584892" w:rsidRDefault="00584892" w:rsidP="004128AB">
      <w:r>
        <w:separator/>
      </w:r>
    </w:p>
  </w:endnote>
  <w:endnote w:type="continuationSeparator" w:id="0">
    <w:p w14:paraId="4507D6FC" w14:textId="77777777" w:rsidR="00584892" w:rsidRDefault="00584892" w:rsidP="004128AB">
      <w:r>
        <w:continuationSeparator/>
      </w:r>
    </w:p>
  </w:endnote>
  <w:endnote w:type="continuationNotice" w:id="1">
    <w:p w14:paraId="2462289D" w14:textId="77777777" w:rsidR="00584892" w:rsidRDefault="00584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651476"/>
      <w:docPartObj>
        <w:docPartGallery w:val="Page Numbers (Bottom of Page)"/>
        <w:docPartUnique/>
      </w:docPartObj>
    </w:sdtPr>
    <w:sdtEndPr>
      <w:rPr>
        <w:noProof/>
      </w:rPr>
    </w:sdtEndPr>
    <w:sdtContent>
      <w:p w14:paraId="4D33EFA9" w14:textId="39029823" w:rsidR="00F6290D" w:rsidRDefault="00F6290D" w:rsidP="00F211E6">
        <w:pPr>
          <w:pStyle w:val="Footer"/>
          <w:jc w:val="center"/>
        </w:pPr>
        <w:r>
          <w:fldChar w:fldCharType="begin"/>
        </w:r>
        <w:r>
          <w:instrText xml:space="preserve"> PAGE   \* MERGEFORMAT </w:instrText>
        </w:r>
        <w:r>
          <w:fldChar w:fldCharType="separate"/>
        </w:r>
        <w:r w:rsidR="00843517">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E3C78" w14:textId="77777777" w:rsidR="00584892" w:rsidRDefault="00584892" w:rsidP="004128AB">
      <w:r>
        <w:separator/>
      </w:r>
    </w:p>
  </w:footnote>
  <w:footnote w:type="continuationSeparator" w:id="0">
    <w:p w14:paraId="0BAD1DA8" w14:textId="77777777" w:rsidR="00584892" w:rsidRDefault="00584892" w:rsidP="004128AB">
      <w:r>
        <w:continuationSeparator/>
      </w:r>
    </w:p>
  </w:footnote>
  <w:footnote w:type="continuationNotice" w:id="1">
    <w:p w14:paraId="356E7B44" w14:textId="77777777" w:rsidR="00584892" w:rsidRDefault="00584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D05A" w14:textId="77777777" w:rsidR="00F6290D" w:rsidRDefault="00F62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171E5"/>
    <w:multiLevelType w:val="hybridMultilevel"/>
    <w:tmpl w:val="4B4C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15:restartNumberingAfterBreak="0">
    <w:nsid w:val="0F5D1734"/>
    <w:multiLevelType w:val="hybridMultilevel"/>
    <w:tmpl w:val="AA6E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45C7B"/>
    <w:multiLevelType w:val="hybridMultilevel"/>
    <w:tmpl w:val="1CD682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7"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8"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1"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3"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15:restartNumberingAfterBreak="0">
    <w:nsid w:val="53A82708"/>
    <w:multiLevelType w:val="hybridMultilevel"/>
    <w:tmpl w:val="F3468FCC"/>
    <w:lvl w:ilvl="0" w:tplc="17A6A496">
      <w:start w:val="1"/>
      <w:numFmt w:val="bullet"/>
      <w:lvlText w:val=""/>
      <w:lvlJc w:val="left"/>
      <w:pPr>
        <w:ind w:left="819" w:hanging="360"/>
      </w:pPr>
      <w:rPr>
        <w:rFonts w:ascii="Symbol" w:hAnsi="Symbol" w:hint="default"/>
        <w:color w:val="auto"/>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6"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17"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19"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0" w15:restartNumberingAfterBreak="0">
    <w:nsid w:val="6AC138E4"/>
    <w:multiLevelType w:val="hybridMultilevel"/>
    <w:tmpl w:val="4434E0E4"/>
    <w:lvl w:ilvl="0" w:tplc="2DFC72A2">
      <w:start w:val="1"/>
      <w:numFmt w:val="bullet"/>
      <w:lvlText w:val=""/>
      <w:lvlJc w:val="left"/>
      <w:pPr>
        <w:ind w:left="1428" w:hanging="360"/>
      </w:pPr>
      <w:rPr>
        <w:rFonts w:ascii="Symbol" w:hAnsi="Symbol" w:hint="default"/>
        <w:color w:val="auto"/>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2" w15:restartNumberingAfterBreak="0">
    <w:nsid w:val="6C427AA5"/>
    <w:multiLevelType w:val="hybridMultilevel"/>
    <w:tmpl w:val="E570BA52"/>
    <w:lvl w:ilvl="0" w:tplc="2E9EE446">
      <w:start w:val="1"/>
      <w:numFmt w:val="lowerRoman"/>
      <w:lvlText w:val="%1."/>
      <w:lvlJc w:val="left"/>
      <w:pPr>
        <w:ind w:left="1429" w:hanging="360"/>
      </w:pPr>
      <w:rPr>
        <w:rFonts w:hint="default"/>
      </w:rPr>
    </w:lvl>
    <w:lvl w:ilvl="1" w:tplc="9F480078">
      <w:start w:val="1"/>
      <w:numFmt w:val="decimal"/>
      <w:lvlText w:val="%2"/>
      <w:lvlJc w:val="left"/>
      <w:pPr>
        <w:ind w:left="2149" w:hanging="360"/>
      </w:pPr>
      <w:rPr>
        <w:rFonts w:ascii="Arial" w:eastAsia="Times New Roman" w:hAnsi="Arial" w:cs="Arial"/>
      </w:r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6C746618"/>
    <w:multiLevelType w:val="hybridMultilevel"/>
    <w:tmpl w:val="EA38F1C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4"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50586"/>
    <w:multiLevelType w:val="hybridMultilevel"/>
    <w:tmpl w:val="CDE66B0E"/>
    <w:lvl w:ilvl="0" w:tplc="5562018E">
      <w:start w:val="1"/>
      <w:numFmt w:val="bullet"/>
      <w:lvlText w:val=""/>
      <w:lvlJc w:val="left"/>
      <w:pPr>
        <w:ind w:left="1179" w:hanging="360"/>
      </w:pPr>
      <w:rPr>
        <w:rFonts w:ascii="Wingdings" w:hAnsi="Wingdings" w:hint="default"/>
        <w:color w:val="auto"/>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9" w15:restartNumberingAfterBreak="0">
    <w:nsid w:val="7CAB02D2"/>
    <w:multiLevelType w:val="hybridMultilevel"/>
    <w:tmpl w:val="29B6772C"/>
    <w:lvl w:ilvl="0" w:tplc="69B4A28C">
      <w:start w:val="1"/>
      <w:numFmt w:val="bullet"/>
      <w:lvlText w:val=""/>
      <w:lvlJc w:val="left"/>
      <w:pPr>
        <w:ind w:left="753" w:hanging="360"/>
      </w:pPr>
      <w:rPr>
        <w:rFonts w:ascii="Symbol" w:hAnsi="Symbol" w:hint="default"/>
        <w:color w:val="auto"/>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0" w15:restartNumberingAfterBreak="0">
    <w:nsid w:val="7E683F05"/>
    <w:multiLevelType w:val="hybridMultilevel"/>
    <w:tmpl w:val="B8365E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77382462">
    <w:abstractNumId w:val="5"/>
  </w:num>
  <w:num w:numId="2" w16cid:durableId="409159693">
    <w:abstractNumId w:val="26"/>
  </w:num>
  <w:num w:numId="3" w16cid:durableId="1987280334">
    <w:abstractNumId w:val="30"/>
  </w:num>
  <w:num w:numId="4" w16cid:durableId="273678743">
    <w:abstractNumId w:val="24"/>
  </w:num>
  <w:num w:numId="5" w16cid:durableId="2131049301">
    <w:abstractNumId w:val="0"/>
  </w:num>
  <w:num w:numId="6" w16cid:durableId="270095092">
    <w:abstractNumId w:val="27"/>
  </w:num>
  <w:num w:numId="7" w16cid:durableId="1921020020">
    <w:abstractNumId w:val="25"/>
  </w:num>
  <w:num w:numId="8" w16cid:durableId="372002150">
    <w:abstractNumId w:val="20"/>
  </w:num>
  <w:num w:numId="9" w16cid:durableId="72318739">
    <w:abstractNumId w:val="15"/>
  </w:num>
  <w:num w:numId="10" w16cid:durableId="308443883">
    <w:abstractNumId w:val="29"/>
  </w:num>
  <w:num w:numId="11" w16cid:durableId="507866712">
    <w:abstractNumId w:val="14"/>
  </w:num>
  <w:num w:numId="12" w16cid:durableId="594509748">
    <w:abstractNumId w:val="11"/>
  </w:num>
  <w:num w:numId="13" w16cid:durableId="658118892">
    <w:abstractNumId w:val="19"/>
  </w:num>
  <w:num w:numId="14" w16cid:durableId="271978521">
    <w:abstractNumId w:val="10"/>
  </w:num>
  <w:num w:numId="15" w16cid:durableId="1225722514">
    <w:abstractNumId w:val="13"/>
  </w:num>
  <w:num w:numId="16" w16cid:durableId="768742690">
    <w:abstractNumId w:val="17"/>
  </w:num>
  <w:num w:numId="17" w16cid:durableId="1000473904">
    <w:abstractNumId w:val="16"/>
  </w:num>
  <w:num w:numId="18" w16cid:durableId="1888449024">
    <w:abstractNumId w:val="8"/>
  </w:num>
  <w:num w:numId="19" w16cid:durableId="1456145156">
    <w:abstractNumId w:val="31"/>
  </w:num>
  <w:num w:numId="20" w16cid:durableId="705327689">
    <w:abstractNumId w:val="18"/>
  </w:num>
  <w:num w:numId="21" w16cid:durableId="1158157419">
    <w:abstractNumId w:val="6"/>
  </w:num>
  <w:num w:numId="22" w16cid:durableId="871696101">
    <w:abstractNumId w:val="3"/>
  </w:num>
  <w:num w:numId="23" w16cid:durableId="539440925">
    <w:abstractNumId w:val="9"/>
  </w:num>
  <w:num w:numId="24" w16cid:durableId="899830133">
    <w:abstractNumId w:val="21"/>
  </w:num>
  <w:num w:numId="25" w16cid:durableId="222110267">
    <w:abstractNumId w:val="12"/>
  </w:num>
  <w:num w:numId="26" w16cid:durableId="444807752">
    <w:abstractNumId w:val="28"/>
  </w:num>
  <w:num w:numId="27" w16cid:durableId="591401019">
    <w:abstractNumId w:val="2"/>
  </w:num>
  <w:num w:numId="28" w16cid:durableId="257561881">
    <w:abstractNumId w:val="7"/>
  </w:num>
  <w:num w:numId="29" w16cid:durableId="979766062">
    <w:abstractNumId w:val="22"/>
  </w:num>
  <w:num w:numId="30" w16cid:durableId="869344989">
    <w:abstractNumId w:val="23"/>
  </w:num>
  <w:num w:numId="31" w16cid:durableId="1647009050">
    <w:abstractNumId w:val="1"/>
  </w:num>
  <w:num w:numId="32" w16cid:durableId="88093801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26B0"/>
    <w:rsid w:val="000142E0"/>
    <w:rsid w:val="00014500"/>
    <w:rsid w:val="000163A4"/>
    <w:rsid w:val="000170D0"/>
    <w:rsid w:val="000174FC"/>
    <w:rsid w:val="00021C7F"/>
    <w:rsid w:val="000257FD"/>
    <w:rsid w:val="00033AE0"/>
    <w:rsid w:val="000373CC"/>
    <w:rsid w:val="00040F92"/>
    <w:rsid w:val="00040FDD"/>
    <w:rsid w:val="00041A0A"/>
    <w:rsid w:val="000423B5"/>
    <w:rsid w:val="0004336B"/>
    <w:rsid w:val="000444A9"/>
    <w:rsid w:val="0004580B"/>
    <w:rsid w:val="00047D0E"/>
    <w:rsid w:val="000514D8"/>
    <w:rsid w:val="00051EAC"/>
    <w:rsid w:val="000525AB"/>
    <w:rsid w:val="000526C1"/>
    <w:rsid w:val="0005433C"/>
    <w:rsid w:val="000612E4"/>
    <w:rsid w:val="000633A1"/>
    <w:rsid w:val="00063853"/>
    <w:rsid w:val="00073A8B"/>
    <w:rsid w:val="00076B86"/>
    <w:rsid w:val="0008232D"/>
    <w:rsid w:val="00082F48"/>
    <w:rsid w:val="000927C5"/>
    <w:rsid w:val="00092FED"/>
    <w:rsid w:val="00095EF2"/>
    <w:rsid w:val="00097111"/>
    <w:rsid w:val="000A0D70"/>
    <w:rsid w:val="000A1360"/>
    <w:rsid w:val="000A1B5A"/>
    <w:rsid w:val="000A1EFD"/>
    <w:rsid w:val="000A40B3"/>
    <w:rsid w:val="000A5F3B"/>
    <w:rsid w:val="000A6812"/>
    <w:rsid w:val="000B2C1D"/>
    <w:rsid w:val="000B4A9D"/>
    <w:rsid w:val="000B57DE"/>
    <w:rsid w:val="000B7018"/>
    <w:rsid w:val="000B740D"/>
    <w:rsid w:val="000B7935"/>
    <w:rsid w:val="000C08B9"/>
    <w:rsid w:val="000C6E8E"/>
    <w:rsid w:val="000D043C"/>
    <w:rsid w:val="000D2807"/>
    <w:rsid w:val="000D41F9"/>
    <w:rsid w:val="000D44D0"/>
    <w:rsid w:val="000D494C"/>
    <w:rsid w:val="000D5FA3"/>
    <w:rsid w:val="000D7559"/>
    <w:rsid w:val="000E30E9"/>
    <w:rsid w:val="000E35EF"/>
    <w:rsid w:val="000E3772"/>
    <w:rsid w:val="000E3B2C"/>
    <w:rsid w:val="000E67E2"/>
    <w:rsid w:val="000E7CC8"/>
    <w:rsid w:val="000F4C25"/>
    <w:rsid w:val="000F6BD4"/>
    <w:rsid w:val="001016E3"/>
    <w:rsid w:val="00101F8A"/>
    <w:rsid w:val="00102715"/>
    <w:rsid w:val="001032A1"/>
    <w:rsid w:val="001032F0"/>
    <w:rsid w:val="00103AA5"/>
    <w:rsid w:val="00105620"/>
    <w:rsid w:val="00110D00"/>
    <w:rsid w:val="00111D7E"/>
    <w:rsid w:val="00112932"/>
    <w:rsid w:val="00115317"/>
    <w:rsid w:val="00120638"/>
    <w:rsid w:val="00122BB2"/>
    <w:rsid w:val="00122D3D"/>
    <w:rsid w:val="00122E8C"/>
    <w:rsid w:val="001258F8"/>
    <w:rsid w:val="00126FC2"/>
    <w:rsid w:val="00133FEE"/>
    <w:rsid w:val="0013669F"/>
    <w:rsid w:val="001375AD"/>
    <w:rsid w:val="001378FD"/>
    <w:rsid w:val="0014072F"/>
    <w:rsid w:val="00143582"/>
    <w:rsid w:val="001437D5"/>
    <w:rsid w:val="0014419D"/>
    <w:rsid w:val="00145A6F"/>
    <w:rsid w:val="001473B5"/>
    <w:rsid w:val="00150C77"/>
    <w:rsid w:val="00151484"/>
    <w:rsid w:val="001567DB"/>
    <w:rsid w:val="00157968"/>
    <w:rsid w:val="00157C98"/>
    <w:rsid w:val="0016019A"/>
    <w:rsid w:val="00161C8E"/>
    <w:rsid w:val="00162103"/>
    <w:rsid w:val="00166013"/>
    <w:rsid w:val="00167B12"/>
    <w:rsid w:val="00170A9D"/>
    <w:rsid w:val="0017248F"/>
    <w:rsid w:val="001725F5"/>
    <w:rsid w:val="0017554D"/>
    <w:rsid w:val="00175570"/>
    <w:rsid w:val="00176299"/>
    <w:rsid w:val="00181FFF"/>
    <w:rsid w:val="00182CC1"/>
    <w:rsid w:val="00185EDD"/>
    <w:rsid w:val="00187651"/>
    <w:rsid w:val="00192128"/>
    <w:rsid w:val="00197FCB"/>
    <w:rsid w:val="001A0001"/>
    <w:rsid w:val="001A1EE1"/>
    <w:rsid w:val="001A50AE"/>
    <w:rsid w:val="001A70A5"/>
    <w:rsid w:val="001A7286"/>
    <w:rsid w:val="001A7374"/>
    <w:rsid w:val="001B1766"/>
    <w:rsid w:val="001B36C0"/>
    <w:rsid w:val="001B3701"/>
    <w:rsid w:val="001B4FD8"/>
    <w:rsid w:val="001B52E8"/>
    <w:rsid w:val="001C4FA6"/>
    <w:rsid w:val="001C5064"/>
    <w:rsid w:val="001C6D52"/>
    <w:rsid w:val="001C72F3"/>
    <w:rsid w:val="001C7C7E"/>
    <w:rsid w:val="001D70C7"/>
    <w:rsid w:val="001E3281"/>
    <w:rsid w:val="001E3D9E"/>
    <w:rsid w:val="001E3FAB"/>
    <w:rsid w:val="001E40F0"/>
    <w:rsid w:val="001E5672"/>
    <w:rsid w:val="001E6C3B"/>
    <w:rsid w:val="001F04C4"/>
    <w:rsid w:val="001F4B4D"/>
    <w:rsid w:val="001F4EE8"/>
    <w:rsid w:val="002003D2"/>
    <w:rsid w:val="0020242B"/>
    <w:rsid w:val="002050C1"/>
    <w:rsid w:val="0020696A"/>
    <w:rsid w:val="002074C8"/>
    <w:rsid w:val="00210B51"/>
    <w:rsid w:val="002125C5"/>
    <w:rsid w:val="002139BC"/>
    <w:rsid w:val="00214AEE"/>
    <w:rsid w:val="00215C7B"/>
    <w:rsid w:val="00224735"/>
    <w:rsid w:val="002260E5"/>
    <w:rsid w:val="00226ED2"/>
    <w:rsid w:val="002312AE"/>
    <w:rsid w:val="002325D7"/>
    <w:rsid w:val="00233876"/>
    <w:rsid w:val="00240407"/>
    <w:rsid w:val="002406A0"/>
    <w:rsid w:val="00245036"/>
    <w:rsid w:val="00245147"/>
    <w:rsid w:val="00245629"/>
    <w:rsid w:val="00254FC3"/>
    <w:rsid w:val="002554BF"/>
    <w:rsid w:val="002602FC"/>
    <w:rsid w:val="0026570B"/>
    <w:rsid w:val="00265997"/>
    <w:rsid w:val="00265DD0"/>
    <w:rsid w:val="00266319"/>
    <w:rsid w:val="002703FC"/>
    <w:rsid w:val="00272466"/>
    <w:rsid w:val="00274316"/>
    <w:rsid w:val="002750CA"/>
    <w:rsid w:val="00276032"/>
    <w:rsid w:val="0027704E"/>
    <w:rsid w:val="00277242"/>
    <w:rsid w:val="00283717"/>
    <w:rsid w:val="002837AC"/>
    <w:rsid w:val="002841A7"/>
    <w:rsid w:val="00286B1D"/>
    <w:rsid w:val="00291FCF"/>
    <w:rsid w:val="00294933"/>
    <w:rsid w:val="00294BBC"/>
    <w:rsid w:val="00295059"/>
    <w:rsid w:val="00296726"/>
    <w:rsid w:val="002A08B5"/>
    <w:rsid w:val="002A4524"/>
    <w:rsid w:val="002A5A91"/>
    <w:rsid w:val="002A5CEE"/>
    <w:rsid w:val="002A69EE"/>
    <w:rsid w:val="002B45F5"/>
    <w:rsid w:val="002B7A98"/>
    <w:rsid w:val="002C0115"/>
    <w:rsid w:val="002C0C1A"/>
    <w:rsid w:val="002C108E"/>
    <w:rsid w:val="002C212C"/>
    <w:rsid w:val="002C275C"/>
    <w:rsid w:val="002C322B"/>
    <w:rsid w:val="002C41E8"/>
    <w:rsid w:val="002C7B1B"/>
    <w:rsid w:val="002D1353"/>
    <w:rsid w:val="002D149B"/>
    <w:rsid w:val="002D241D"/>
    <w:rsid w:val="002D3174"/>
    <w:rsid w:val="002D319C"/>
    <w:rsid w:val="002D72CF"/>
    <w:rsid w:val="002D7B0D"/>
    <w:rsid w:val="002E2C32"/>
    <w:rsid w:val="002E3695"/>
    <w:rsid w:val="002E43C6"/>
    <w:rsid w:val="002E45E8"/>
    <w:rsid w:val="002E6837"/>
    <w:rsid w:val="002F26BE"/>
    <w:rsid w:val="002F34E9"/>
    <w:rsid w:val="002F7776"/>
    <w:rsid w:val="003004C8"/>
    <w:rsid w:val="003050F6"/>
    <w:rsid w:val="00310D1B"/>
    <w:rsid w:val="00312067"/>
    <w:rsid w:val="0031431C"/>
    <w:rsid w:val="0032196F"/>
    <w:rsid w:val="0032511C"/>
    <w:rsid w:val="00325288"/>
    <w:rsid w:val="00334CB6"/>
    <w:rsid w:val="00336561"/>
    <w:rsid w:val="00337BEC"/>
    <w:rsid w:val="003434DF"/>
    <w:rsid w:val="00343B5C"/>
    <w:rsid w:val="00345A4E"/>
    <w:rsid w:val="00347C31"/>
    <w:rsid w:val="0035036A"/>
    <w:rsid w:val="003524CC"/>
    <w:rsid w:val="003560DF"/>
    <w:rsid w:val="00356CCD"/>
    <w:rsid w:val="00360339"/>
    <w:rsid w:val="00360AC3"/>
    <w:rsid w:val="00360D8F"/>
    <w:rsid w:val="00361869"/>
    <w:rsid w:val="00372606"/>
    <w:rsid w:val="003749D8"/>
    <w:rsid w:val="00375BF2"/>
    <w:rsid w:val="003778A9"/>
    <w:rsid w:val="0038352F"/>
    <w:rsid w:val="00383936"/>
    <w:rsid w:val="00386366"/>
    <w:rsid w:val="0038722F"/>
    <w:rsid w:val="0039175E"/>
    <w:rsid w:val="0039286C"/>
    <w:rsid w:val="00393D9B"/>
    <w:rsid w:val="00397343"/>
    <w:rsid w:val="003A0065"/>
    <w:rsid w:val="003A236C"/>
    <w:rsid w:val="003A5A11"/>
    <w:rsid w:val="003A5BC6"/>
    <w:rsid w:val="003B3602"/>
    <w:rsid w:val="003B5934"/>
    <w:rsid w:val="003B6026"/>
    <w:rsid w:val="003C136E"/>
    <w:rsid w:val="003C3A81"/>
    <w:rsid w:val="003C5218"/>
    <w:rsid w:val="003C5559"/>
    <w:rsid w:val="003C7DAB"/>
    <w:rsid w:val="003D117C"/>
    <w:rsid w:val="003D3DFA"/>
    <w:rsid w:val="003D4D0F"/>
    <w:rsid w:val="003D5BCD"/>
    <w:rsid w:val="003D5E58"/>
    <w:rsid w:val="003D6EAF"/>
    <w:rsid w:val="003E03D3"/>
    <w:rsid w:val="003E0CDA"/>
    <w:rsid w:val="003E1E0E"/>
    <w:rsid w:val="003E20F5"/>
    <w:rsid w:val="003E2923"/>
    <w:rsid w:val="003E2A3F"/>
    <w:rsid w:val="003E4797"/>
    <w:rsid w:val="003E50E3"/>
    <w:rsid w:val="003E5C50"/>
    <w:rsid w:val="003E6235"/>
    <w:rsid w:val="003E6742"/>
    <w:rsid w:val="003E7ED5"/>
    <w:rsid w:val="003F03AF"/>
    <w:rsid w:val="003F5592"/>
    <w:rsid w:val="003F70A0"/>
    <w:rsid w:val="003F7B9F"/>
    <w:rsid w:val="004022EF"/>
    <w:rsid w:val="004055C3"/>
    <w:rsid w:val="004128AB"/>
    <w:rsid w:val="0041795B"/>
    <w:rsid w:val="0042133F"/>
    <w:rsid w:val="00423321"/>
    <w:rsid w:val="004255B1"/>
    <w:rsid w:val="00426370"/>
    <w:rsid w:val="00426F6D"/>
    <w:rsid w:val="00433D3A"/>
    <w:rsid w:val="00434CC1"/>
    <w:rsid w:val="004353AF"/>
    <w:rsid w:val="0043769F"/>
    <w:rsid w:val="00437B1B"/>
    <w:rsid w:val="0044370A"/>
    <w:rsid w:val="00444410"/>
    <w:rsid w:val="00445290"/>
    <w:rsid w:val="00446080"/>
    <w:rsid w:val="00446085"/>
    <w:rsid w:val="004478C6"/>
    <w:rsid w:val="004519C6"/>
    <w:rsid w:val="00452F72"/>
    <w:rsid w:val="00457DD7"/>
    <w:rsid w:val="00462D72"/>
    <w:rsid w:val="004646CE"/>
    <w:rsid w:val="00464F80"/>
    <w:rsid w:val="00467352"/>
    <w:rsid w:val="00471472"/>
    <w:rsid w:val="00474821"/>
    <w:rsid w:val="004770FF"/>
    <w:rsid w:val="00477FE6"/>
    <w:rsid w:val="00480557"/>
    <w:rsid w:val="00481C00"/>
    <w:rsid w:val="0048524C"/>
    <w:rsid w:val="00485C1C"/>
    <w:rsid w:val="004939B1"/>
    <w:rsid w:val="00495BA4"/>
    <w:rsid w:val="004967C1"/>
    <w:rsid w:val="004A1746"/>
    <w:rsid w:val="004A30DF"/>
    <w:rsid w:val="004A5502"/>
    <w:rsid w:val="004A6A8D"/>
    <w:rsid w:val="004B2485"/>
    <w:rsid w:val="004B2EF4"/>
    <w:rsid w:val="004B554B"/>
    <w:rsid w:val="004B5757"/>
    <w:rsid w:val="004B60B9"/>
    <w:rsid w:val="004B7953"/>
    <w:rsid w:val="004C0A8B"/>
    <w:rsid w:val="004C5E2B"/>
    <w:rsid w:val="004D0162"/>
    <w:rsid w:val="004D179C"/>
    <w:rsid w:val="004D3A64"/>
    <w:rsid w:val="004D634C"/>
    <w:rsid w:val="004D7320"/>
    <w:rsid w:val="004E0996"/>
    <w:rsid w:val="004E0A35"/>
    <w:rsid w:val="004E4BF6"/>
    <w:rsid w:val="004E4D1C"/>
    <w:rsid w:val="004E73A6"/>
    <w:rsid w:val="004F28DC"/>
    <w:rsid w:val="004F3658"/>
    <w:rsid w:val="004F4174"/>
    <w:rsid w:val="004F5B7F"/>
    <w:rsid w:val="00501A1C"/>
    <w:rsid w:val="0051242F"/>
    <w:rsid w:val="005137FB"/>
    <w:rsid w:val="00514191"/>
    <w:rsid w:val="00514477"/>
    <w:rsid w:val="00514F82"/>
    <w:rsid w:val="00517B14"/>
    <w:rsid w:val="00520AEE"/>
    <w:rsid w:val="005222CA"/>
    <w:rsid w:val="005231F5"/>
    <w:rsid w:val="0052510C"/>
    <w:rsid w:val="0053091D"/>
    <w:rsid w:val="00537795"/>
    <w:rsid w:val="005411B1"/>
    <w:rsid w:val="0054355F"/>
    <w:rsid w:val="00547B33"/>
    <w:rsid w:val="00555266"/>
    <w:rsid w:val="00555B94"/>
    <w:rsid w:val="005569DA"/>
    <w:rsid w:val="00561F88"/>
    <w:rsid w:val="005628D5"/>
    <w:rsid w:val="005649FF"/>
    <w:rsid w:val="0056789A"/>
    <w:rsid w:val="00581917"/>
    <w:rsid w:val="00584892"/>
    <w:rsid w:val="0058654F"/>
    <w:rsid w:val="00587CA0"/>
    <w:rsid w:val="00590464"/>
    <w:rsid w:val="00597DC1"/>
    <w:rsid w:val="005A21CB"/>
    <w:rsid w:val="005A47A6"/>
    <w:rsid w:val="005A5BB1"/>
    <w:rsid w:val="005A5C8F"/>
    <w:rsid w:val="005A685F"/>
    <w:rsid w:val="005A77B0"/>
    <w:rsid w:val="005B36E6"/>
    <w:rsid w:val="005C07BB"/>
    <w:rsid w:val="005C28B2"/>
    <w:rsid w:val="005C395F"/>
    <w:rsid w:val="005C6C0C"/>
    <w:rsid w:val="005D0721"/>
    <w:rsid w:val="005D28CA"/>
    <w:rsid w:val="005D30A4"/>
    <w:rsid w:val="005D365C"/>
    <w:rsid w:val="005D4E0D"/>
    <w:rsid w:val="005D7818"/>
    <w:rsid w:val="005E06EE"/>
    <w:rsid w:val="005E0930"/>
    <w:rsid w:val="005E2AC1"/>
    <w:rsid w:val="005E3F01"/>
    <w:rsid w:val="005E47EE"/>
    <w:rsid w:val="005E49CA"/>
    <w:rsid w:val="005E766A"/>
    <w:rsid w:val="005F1D70"/>
    <w:rsid w:val="005F1D9F"/>
    <w:rsid w:val="005F2B8B"/>
    <w:rsid w:val="005F4E17"/>
    <w:rsid w:val="005F4E84"/>
    <w:rsid w:val="005F526E"/>
    <w:rsid w:val="005F626A"/>
    <w:rsid w:val="00600B96"/>
    <w:rsid w:val="00604472"/>
    <w:rsid w:val="0060478F"/>
    <w:rsid w:val="0060583F"/>
    <w:rsid w:val="00611568"/>
    <w:rsid w:val="00612F92"/>
    <w:rsid w:val="00614A86"/>
    <w:rsid w:val="006150B5"/>
    <w:rsid w:val="00621256"/>
    <w:rsid w:val="006237B7"/>
    <w:rsid w:val="00624262"/>
    <w:rsid w:val="00625450"/>
    <w:rsid w:val="006269FE"/>
    <w:rsid w:val="006303CC"/>
    <w:rsid w:val="006313DF"/>
    <w:rsid w:val="0064075F"/>
    <w:rsid w:val="00640F44"/>
    <w:rsid w:val="00642FD5"/>
    <w:rsid w:val="0064453B"/>
    <w:rsid w:val="00644639"/>
    <w:rsid w:val="00644FB1"/>
    <w:rsid w:val="006533DD"/>
    <w:rsid w:val="006562BD"/>
    <w:rsid w:val="006566F2"/>
    <w:rsid w:val="00664E7C"/>
    <w:rsid w:val="006707ED"/>
    <w:rsid w:val="00670926"/>
    <w:rsid w:val="006752FF"/>
    <w:rsid w:val="00675D59"/>
    <w:rsid w:val="00682CC8"/>
    <w:rsid w:val="0068334F"/>
    <w:rsid w:val="00686EA5"/>
    <w:rsid w:val="0069276A"/>
    <w:rsid w:val="00695C6F"/>
    <w:rsid w:val="006967AE"/>
    <w:rsid w:val="00696E24"/>
    <w:rsid w:val="006A0710"/>
    <w:rsid w:val="006A2CEF"/>
    <w:rsid w:val="006A6708"/>
    <w:rsid w:val="006A69D9"/>
    <w:rsid w:val="006A706A"/>
    <w:rsid w:val="006B0D12"/>
    <w:rsid w:val="006B4529"/>
    <w:rsid w:val="006B62DB"/>
    <w:rsid w:val="006B7101"/>
    <w:rsid w:val="006C0A52"/>
    <w:rsid w:val="006C15DE"/>
    <w:rsid w:val="006C3745"/>
    <w:rsid w:val="006D4D85"/>
    <w:rsid w:val="006D5618"/>
    <w:rsid w:val="006D5ED6"/>
    <w:rsid w:val="006D60A9"/>
    <w:rsid w:val="006D77CB"/>
    <w:rsid w:val="006E1343"/>
    <w:rsid w:val="006E39B7"/>
    <w:rsid w:val="006E630C"/>
    <w:rsid w:val="006E63D5"/>
    <w:rsid w:val="006E6C46"/>
    <w:rsid w:val="006F02BC"/>
    <w:rsid w:val="006F1F11"/>
    <w:rsid w:val="006F35B5"/>
    <w:rsid w:val="00701D90"/>
    <w:rsid w:val="00701F15"/>
    <w:rsid w:val="00703D41"/>
    <w:rsid w:val="00704DCA"/>
    <w:rsid w:val="00706974"/>
    <w:rsid w:val="00706B43"/>
    <w:rsid w:val="00712E09"/>
    <w:rsid w:val="007130A2"/>
    <w:rsid w:val="007131CD"/>
    <w:rsid w:val="0071373D"/>
    <w:rsid w:val="0071639F"/>
    <w:rsid w:val="00716B27"/>
    <w:rsid w:val="007174C8"/>
    <w:rsid w:val="007217AF"/>
    <w:rsid w:val="00721CEF"/>
    <w:rsid w:val="0072360A"/>
    <w:rsid w:val="00723DFE"/>
    <w:rsid w:val="00734DC4"/>
    <w:rsid w:val="00737BBC"/>
    <w:rsid w:val="00743148"/>
    <w:rsid w:val="00744418"/>
    <w:rsid w:val="007454D1"/>
    <w:rsid w:val="007457F9"/>
    <w:rsid w:val="0074603F"/>
    <w:rsid w:val="0074738E"/>
    <w:rsid w:val="0075086B"/>
    <w:rsid w:val="00750FA8"/>
    <w:rsid w:val="00751230"/>
    <w:rsid w:val="00755028"/>
    <w:rsid w:val="007609B7"/>
    <w:rsid w:val="0076457D"/>
    <w:rsid w:val="00764B8F"/>
    <w:rsid w:val="00766FA5"/>
    <w:rsid w:val="00770807"/>
    <w:rsid w:val="007714C5"/>
    <w:rsid w:val="00773DC2"/>
    <w:rsid w:val="0077505E"/>
    <w:rsid w:val="00776ED9"/>
    <w:rsid w:val="007779E1"/>
    <w:rsid w:val="0078053E"/>
    <w:rsid w:val="00781175"/>
    <w:rsid w:val="007825F9"/>
    <w:rsid w:val="00783DF2"/>
    <w:rsid w:val="00784EB3"/>
    <w:rsid w:val="0079083B"/>
    <w:rsid w:val="007908C9"/>
    <w:rsid w:val="00795184"/>
    <w:rsid w:val="00796DD5"/>
    <w:rsid w:val="007972AE"/>
    <w:rsid w:val="007A0B11"/>
    <w:rsid w:val="007A1AEC"/>
    <w:rsid w:val="007A1F31"/>
    <w:rsid w:val="007A3554"/>
    <w:rsid w:val="007A3A8D"/>
    <w:rsid w:val="007A75DC"/>
    <w:rsid w:val="007B2C1D"/>
    <w:rsid w:val="007B404A"/>
    <w:rsid w:val="007B6D6B"/>
    <w:rsid w:val="007C0B94"/>
    <w:rsid w:val="007C0FF9"/>
    <w:rsid w:val="007C20D4"/>
    <w:rsid w:val="007C35AE"/>
    <w:rsid w:val="007C3E7E"/>
    <w:rsid w:val="007C6510"/>
    <w:rsid w:val="007C7243"/>
    <w:rsid w:val="007D278D"/>
    <w:rsid w:val="007D41A2"/>
    <w:rsid w:val="007D6BD0"/>
    <w:rsid w:val="007D6C71"/>
    <w:rsid w:val="007E07FF"/>
    <w:rsid w:val="007E23CA"/>
    <w:rsid w:val="007E2B2A"/>
    <w:rsid w:val="007E4C30"/>
    <w:rsid w:val="007E5DF4"/>
    <w:rsid w:val="007E71B3"/>
    <w:rsid w:val="007E7BD2"/>
    <w:rsid w:val="007F1C22"/>
    <w:rsid w:val="007F31CA"/>
    <w:rsid w:val="007F33CC"/>
    <w:rsid w:val="00801042"/>
    <w:rsid w:val="00801719"/>
    <w:rsid w:val="008052C2"/>
    <w:rsid w:val="00806388"/>
    <w:rsid w:val="0080732B"/>
    <w:rsid w:val="008074D0"/>
    <w:rsid w:val="00807910"/>
    <w:rsid w:val="00810EBF"/>
    <w:rsid w:val="00813701"/>
    <w:rsid w:val="008137AE"/>
    <w:rsid w:val="0081425D"/>
    <w:rsid w:val="00815CAA"/>
    <w:rsid w:val="00815F5B"/>
    <w:rsid w:val="00822210"/>
    <w:rsid w:val="008235A5"/>
    <w:rsid w:val="0082364E"/>
    <w:rsid w:val="00827635"/>
    <w:rsid w:val="00830A3C"/>
    <w:rsid w:val="0083298F"/>
    <w:rsid w:val="008349AE"/>
    <w:rsid w:val="008375A3"/>
    <w:rsid w:val="00840A5E"/>
    <w:rsid w:val="00840E57"/>
    <w:rsid w:val="0084150C"/>
    <w:rsid w:val="00842AC6"/>
    <w:rsid w:val="00843301"/>
    <w:rsid w:val="00843517"/>
    <w:rsid w:val="00844450"/>
    <w:rsid w:val="00844AE8"/>
    <w:rsid w:val="0084785D"/>
    <w:rsid w:val="008601F7"/>
    <w:rsid w:val="00861A58"/>
    <w:rsid w:val="00861E8B"/>
    <w:rsid w:val="00864387"/>
    <w:rsid w:val="0087066E"/>
    <w:rsid w:val="0087161D"/>
    <w:rsid w:val="00874ABE"/>
    <w:rsid w:val="00875FBE"/>
    <w:rsid w:val="00876616"/>
    <w:rsid w:val="00876B3D"/>
    <w:rsid w:val="00877E59"/>
    <w:rsid w:val="00880935"/>
    <w:rsid w:val="00881F5A"/>
    <w:rsid w:val="008875C7"/>
    <w:rsid w:val="008912CD"/>
    <w:rsid w:val="00892EA5"/>
    <w:rsid w:val="00893146"/>
    <w:rsid w:val="00894FF1"/>
    <w:rsid w:val="008952A6"/>
    <w:rsid w:val="008972BB"/>
    <w:rsid w:val="008A0C46"/>
    <w:rsid w:val="008A3CCF"/>
    <w:rsid w:val="008A3FE9"/>
    <w:rsid w:val="008A57B1"/>
    <w:rsid w:val="008A7CB6"/>
    <w:rsid w:val="008B04A8"/>
    <w:rsid w:val="008B3EE1"/>
    <w:rsid w:val="008B4E28"/>
    <w:rsid w:val="008B7824"/>
    <w:rsid w:val="008C04A4"/>
    <w:rsid w:val="008C0C50"/>
    <w:rsid w:val="008C31D8"/>
    <w:rsid w:val="008C63DD"/>
    <w:rsid w:val="008D0510"/>
    <w:rsid w:val="008D1C2B"/>
    <w:rsid w:val="008D273A"/>
    <w:rsid w:val="008D3ECF"/>
    <w:rsid w:val="008D44E3"/>
    <w:rsid w:val="008D4667"/>
    <w:rsid w:val="008D47AE"/>
    <w:rsid w:val="008D5A82"/>
    <w:rsid w:val="008D68F0"/>
    <w:rsid w:val="008D6EAF"/>
    <w:rsid w:val="008D735F"/>
    <w:rsid w:val="008E5C90"/>
    <w:rsid w:val="008E5EB5"/>
    <w:rsid w:val="008E69CB"/>
    <w:rsid w:val="008E6DE3"/>
    <w:rsid w:val="008E785E"/>
    <w:rsid w:val="008F0A94"/>
    <w:rsid w:val="008F37A2"/>
    <w:rsid w:val="00902BEA"/>
    <w:rsid w:val="009033E8"/>
    <w:rsid w:val="009044EC"/>
    <w:rsid w:val="00904E7F"/>
    <w:rsid w:val="00907079"/>
    <w:rsid w:val="00907923"/>
    <w:rsid w:val="00914146"/>
    <w:rsid w:val="009160B3"/>
    <w:rsid w:val="00916B2A"/>
    <w:rsid w:val="00920039"/>
    <w:rsid w:val="00921024"/>
    <w:rsid w:val="00921253"/>
    <w:rsid w:val="00922560"/>
    <w:rsid w:val="009247B9"/>
    <w:rsid w:val="00925B20"/>
    <w:rsid w:val="00926CA4"/>
    <w:rsid w:val="00926FF2"/>
    <w:rsid w:val="0092779D"/>
    <w:rsid w:val="00927A09"/>
    <w:rsid w:val="00927A6A"/>
    <w:rsid w:val="00930939"/>
    <w:rsid w:val="009310D8"/>
    <w:rsid w:val="009313D5"/>
    <w:rsid w:val="009317BC"/>
    <w:rsid w:val="009324F2"/>
    <w:rsid w:val="00933737"/>
    <w:rsid w:val="009337E9"/>
    <w:rsid w:val="00935FD2"/>
    <w:rsid w:val="009370DC"/>
    <w:rsid w:val="009434D3"/>
    <w:rsid w:val="009464DB"/>
    <w:rsid w:val="009467EE"/>
    <w:rsid w:val="0095783E"/>
    <w:rsid w:val="009602C1"/>
    <w:rsid w:val="009638B4"/>
    <w:rsid w:val="009644AF"/>
    <w:rsid w:val="009664D5"/>
    <w:rsid w:val="00970444"/>
    <w:rsid w:val="009736DA"/>
    <w:rsid w:val="00973DB3"/>
    <w:rsid w:val="0097545E"/>
    <w:rsid w:val="00977007"/>
    <w:rsid w:val="009771C6"/>
    <w:rsid w:val="00983A2A"/>
    <w:rsid w:val="00983D5E"/>
    <w:rsid w:val="00994966"/>
    <w:rsid w:val="00994A8F"/>
    <w:rsid w:val="009973EA"/>
    <w:rsid w:val="009A007F"/>
    <w:rsid w:val="009A116F"/>
    <w:rsid w:val="009A2DD8"/>
    <w:rsid w:val="009A5D48"/>
    <w:rsid w:val="009A72C8"/>
    <w:rsid w:val="009B28AF"/>
    <w:rsid w:val="009B51C0"/>
    <w:rsid w:val="009B5AC1"/>
    <w:rsid w:val="009B6B50"/>
    <w:rsid w:val="009C03A7"/>
    <w:rsid w:val="009C414A"/>
    <w:rsid w:val="009C6C7C"/>
    <w:rsid w:val="009D0D93"/>
    <w:rsid w:val="009D1AAD"/>
    <w:rsid w:val="009D3E32"/>
    <w:rsid w:val="009D53B7"/>
    <w:rsid w:val="009E64C4"/>
    <w:rsid w:val="009E6688"/>
    <w:rsid w:val="009E7AD1"/>
    <w:rsid w:val="009F2883"/>
    <w:rsid w:val="009F379F"/>
    <w:rsid w:val="009F51F8"/>
    <w:rsid w:val="009F65C6"/>
    <w:rsid w:val="009F6E99"/>
    <w:rsid w:val="009F7859"/>
    <w:rsid w:val="00A014F0"/>
    <w:rsid w:val="00A02E81"/>
    <w:rsid w:val="00A05F3F"/>
    <w:rsid w:val="00A103FE"/>
    <w:rsid w:val="00A13517"/>
    <w:rsid w:val="00A1440B"/>
    <w:rsid w:val="00A17812"/>
    <w:rsid w:val="00A17EA5"/>
    <w:rsid w:val="00A20538"/>
    <w:rsid w:val="00A2557D"/>
    <w:rsid w:val="00A27BEF"/>
    <w:rsid w:val="00A3113A"/>
    <w:rsid w:val="00A33BF5"/>
    <w:rsid w:val="00A3495F"/>
    <w:rsid w:val="00A34A83"/>
    <w:rsid w:val="00A35334"/>
    <w:rsid w:val="00A357B8"/>
    <w:rsid w:val="00A37C63"/>
    <w:rsid w:val="00A401CB"/>
    <w:rsid w:val="00A40229"/>
    <w:rsid w:val="00A4067C"/>
    <w:rsid w:val="00A426DE"/>
    <w:rsid w:val="00A43F36"/>
    <w:rsid w:val="00A449B9"/>
    <w:rsid w:val="00A45978"/>
    <w:rsid w:val="00A45CAB"/>
    <w:rsid w:val="00A47616"/>
    <w:rsid w:val="00A478C9"/>
    <w:rsid w:val="00A50C89"/>
    <w:rsid w:val="00A50FD2"/>
    <w:rsid w:val="00A51E21"/>
    <w:rsid w:val="00A52677"/>
    <w:rsid w:val="00A537F5"/>
    <w:rsid w:val="00A60D6F"/>
    <w:rsid w:val="00A61EF3"/>
    <w:rsid w:val="00A62DD8"/>
    <w:rsid w:val="00A63631"/>
    <w:rsid w:val="00A6466C"/>
    <w:rsid w:val="00A70AA1"/>
    <w:rsid w:val="00A70EAC"/>
    <w:rsid w:val="00A7441A"/>
    <w:rsid w:val="00A75353"/>
    <w:rsid w:val="00A75908"/>
    <w:rsid w:val="00A83969"/>
    <w:rsid w:val="00A84253"/>
    <w:rsid w:val="00A8596A"/>
    <w:rsid w:val="00A859AD"/>
    <w:rsid w:val="00A8757A"/>
    <w:rsid w:val="00A912C7"/>
    <w:rsid w:val="00A91482"/>
    <w:rsid w:val="00A91515"/>
    <w:rsid w:val="00AA033D"/>
    <w:rsid w:val="00AA05D2"/>
    <w:rsid w:val="00AB0652"/>
    <w:rsid w:val="00AB2933"/>
    <w:rsid w:val="00AB2B0F"/>
    <w:rsid w:val="00AB5562"/>
    <w:rsid w:val="00AC1B72"/>
    <w:rsid w:val="00AC287E"/>
    <w:rsid w:val="00AC2BB1"/>
    <w:rsid w:val="00AC40F8"/>
    <w:rsid w:val="00AC49B2"/>
    <w:rsid w:val="00AC4DD7"/>
    <w:rsid w:val="00AC790E"/>
    <w:rsid w:val="00AD1A81"/>
    <w:rsid w:val="00AD6BF0"/>
    <w:rsid w:val="00AD7DB8"/>
    <w:rsid w:val="00AE2F44"/>
    <w:rsid w:val="00AE5295"/>
    <w:rsid w:val="00AF1567"/>
    <w:rsid w:val="00AF1EE6"/>
    <w:rsid w:val="00B00D2F"/>
    <w:rsid w:val="00B04413"/>
    <w:rsid w:val="00B05120"/>
    <w:rsid w:val="00B054E2"/>
    <w:rsid w:val="00B05F08"/>
    <w:rsid w:val="00B22359"/>
    <w:rsid w:val="00B2339B"/>
    <w:rsid w:val="00B2523E"/>
    <w:rsid w:val="00B26B41"/>
    <w:rsid w:val="00B30A08"/>
    <w:rsid w:val="00B34A07"/>
    <w:rsid w:val="00B51D73"/>
    <w:rsid w:val="00B53FD9"/>
    <w:rsid w:val="00B54AD5"/>
    <w:rsid w:val="00B605CA"/>
    <w:rsid w:val="00B657C5"/>
    <w:rsid w:val="00B707BA"/>
    <w:rsid w:val="00B70F54"/>
    <w:rsid w:val="00B71354"/>
    <w:rsid w:val="00B7466A"/>
    <w:rsid w:val="00B75393"/>
    <w:rsid w:val="00B77FF7"/>
    <w:rsid w:val="00B80B2B"/>
    <w:rsid w:val="00B8187A"/>
    <w:rsid w:val="00B820F8"/>
    <w:rsid w:val="00B8603F"/>
    <w:rsid w:val="00B87C61"/>
    <w:rsid w:val="00B9724B"/>
    <w:rsid w:val="00B97C63"/>
    <w:rsid w:val="00BA221D"/>
    <w:rsid w:val="00BA2C98"/>
    <w:rsid w:val="00BA59D7"/>
    <w:rsid w:val="00BB1741"/>
    <w:rsid w:val="00BB4D7A"/>
    <w:rsid w:val="00BC1AF1"/>
    <w:rsid w:val="00BC1EB3"/>
    <w:rsid w:val="00BC5C01"/>
    <w:rsid w:val="00BC64E7"/>
    <w:rsid w:val="00BC6D69"/>
    <w:rsid w:val="00BC7463"/>
    <w:rsid w:val="00BD0D05"/>
    <w:rsid w:val="00BD1891"/>
    <w:rsid w:val="00BD2074"/>
    <w:rsid w:val="00BD2A9B"/>
    <w:rsid w:val="00BD4233"/>
    <w:rsid w:val="00BD4569"/>
    <w:rsid w:val="00BE09A9"/>
    <w:rsid w:val="00BE3A64"/>
    <w:rsid w:val="00BE7A65"/>
    <w:rsid w:val="00BE7C61"/>
    <w:rsid w:val="00BF3A71"/>
    <w:rsid w:val="00BF6AA2"/>
    <w:rsid w:val="00C01EF9"/>
    <w:rsid w:val="00C02CBD"/>
    <w:rsid w:val="00C02E87"/>
    <w:rsid w:val="00C0314C"/>
    <w:rsid w:val="00C03E40"/>
    <w:rsid w:val="00C068BA"/>
    <w:rsid w:val="00C074EC"/>
    <w:rsid w:val="00C115C1"/>
    <w:rsid w:val="00C11CB8"/>
    <w:rsid w:val="00C13C73"/>
    <w:rsid w:val="00C14897"/>
    <w:rsid w:val="00C15336"/>
    <w:rsid w:val="00C1592A"/>
    <w:rsid w:val="00C161B5"/>
    <w:rsid w:val="00C1695A"/>
    <w:rsid w:val="00C2225C"/>
    <w:rsid w:val="00C226A5"/>
    <w:rsid w:val="00C22957"/>
    <w:rsid w:val="00C23F89"/>
    <w:rsid w:val="00C2582C"/>
    <w:rsid w:val="00C26733"/>
    <w:rsid w:val="00C324AA"/>
    <w:rsid w:val="00C3260F"/>
    <w:rsid w:val="00C32C4D"/>
    <w:rsid w:val="00C35A18"/>
    <w:rsid w:val="00C36F27"/>
    <w:rsid w:val="00C37438"/>
    <w:rsid w:val="00C411E7"/>
    <w:rsid w:val="00C445B1"/>
    <w:rsid w:val="00C47D02"/>
    <w:rsid w:val="00C50D35"/>
    <w:rsid w:val="00C514E9"/>
    <w:rsid w:val="00C53944"/>
    <w:rsid w:val="00C578AE"/>
    <w:rsid w:val="00C6125B"/>
    <w:rsid w:val="00C669C3"/>
    <w:rsid w:val="00C66AE8"/>
    <w:rsid w:val="00C75051"/>
    <w:rsid w:val="00C75774"/>
    <w:rsid w:val="00C75CD0"/>
    <w:rsid w:val="00C77390"/>
    <w:rsid w:val="00C806CB"/>
    <w:rsid w:val="00C81CD5"/>
    <w:rsid w:val="00C87DAC"/>
    <w:rsid w:val="00C90CDF"/>
    <w:rsid w:val="00C9101F"/>
    <w:rsid w:val="00C929E0"/>
    <w:rsid w:val="00C9380C"/>
    <w:rsid w:val="00C946FC"/>
    <w:rsid w:val="00C94E3C"/>
    <w:rsid w:val="00C954AF"/>
    <w:rsid w:val="00C97183"/>
    <w:rsid w:val="00C97AB3"/>
    <w:rsid w:val="00CA3D8A"/>
    <w:rsid w:val="00CA3DD1"/>
    <w:rsid w:val="00CA4F83"/>
    <w:rsid w:val="00CA540D"/>
    <w:rsid w:val="00CA5A99"/>
    <w:rsid w:val="00CA7B4A"/>
    <w:rsid w:val="00CB0685"/>
    <w:rsid w:val="00CB07F3"/>
    <w:rsid w:val="00CB0E86"/>
    <w:rsid w:val="00CB1DBB"/>
    <w:rsid w:val="00CB1E43"/>
    <w:rsid w:val="00CB68B5"/>
    <w:rsid w:val="00CB78BE"/>
    <w:rsid w:val="00CC18B8"/>
    <w:rsid w:val="00CD1EED"/>
    <w:rsid w:val="00CE29EF"/>
    <w:rsid w:val="00CE2DFD"/>
    <w:rsid w:val="00CE380C"/>
    <w:rsid w:val="00CE4A4D"/>
    <w:rsid w:val="00CE56D3"/>
    <w:rsid w:val="00CE681E"/>
    <w:rsid w:val="00CF0E86"/>
    <w:rsid w:val="00CF2B97"/>
    <w:rsid w:val="00CF3D3E"/>
    <w:rsid w:val="00CF6E3C"/>
    <w:rsid w:val="00CF7587"/>
    <w:rsid w:val="00D000C0"/>
    <w:rsid w:val="00D00980"/>
    <w:rsid w:val="00D00E84"/>
    <w:rsid w:val="00D032D0"/>
    <w:rsid w:val="00D05649"/>
    <w:rsid w:val="00D07164"/>
    <w:rsid w:val="00D13FC1"/>
    <w:rsid w:val="00D14087"/>
    <w:rsid w:val="00D15576"/>
    <w:rsid w:val="00D157FF"/>
    <w:rsid w:val="00D15861"/>
    <w:rsid w:val="00D15C3D"/>
    <w:rsid w:val="00D23DD1"/>
    <w:rsid w:val="00D26AA8"/>
    <w:rsid w:val="00D32259"/>
    <w:rsid w:val="00D36856"/>
    <w:rsid w:val="00D3767C"/>
    <w:rsid w:val="00D40778"/>
    <w:rsid w:val="00D4294C"/>
    <w:rsid w:val="00D477E5"/>
    <w:rsid w:val="00D50D7B"/>
    <w:rsid w:val="00D5198C"/>
    <w:rsid w:val="00D536CA"/>
    <w:rsid w:val="00D547E3"/>
    <w:rsid w:val="00D6185B"/>
    <w:rsid w:val="00D63BCC"/>
    <w:rsid w:val="00D65240"/>
    <w:rsid w:val="00D67D30"/>
    <w:rsid w:val="00D71095"/>
    <w:rsid w:val="00D719AA"/>
    <w:rsid w:val="00D733EC"/>
    <w:rsid w:val="00D745DC"/>
    <w:rsid w:val="00D746E4"/>
    <w:rsid w:val="00D76B79"/>
    <w:rsid w:val="00D7746B"/>
    <w:rsid w:val="00D80145"/>
    <w:rsid w:val="00D8027E"/>
    <w:rsid w:val="00D80592"/>
    <w:rsid w:val="00D8364A"/>
    <w:rsid w:val="00D83DB7"/>
    <w:rsid w:val="00D843D6"/>
    <w:rsid w:val="00D84E6F"/>
    <w:rsid w:val="00D8525D"/>
    <w:rsid w:val="00D857BE"/>
    <w:rsid w:val="00D85C15"/>
    <w:rsid w:val="00D8788E"/>
    <w:rsid w:val="00D91CE2"/>
    <w:rsid w:val="00D93162"/>
    <w:rsid w:val="00D979A4"/>
    <w:rsid w:val="00DB3D62"/>
    <w:rsid w:val="00DB415E"/>
    <w:rsid w:val="00DB7342"/>
    <w:rsid w:val="00DC040A"/>
    <w:rsid w:val="00DC06CF"/>
    <w:rsid w:val="00DC08B1"/>
    <w:rsid w:val="00DC4623"/>
    <w:rsid w:val="00DC5C6E"/>
    <w:rsid w:val="00DD291E"/>
    <w:rsid w:val="00DD2D6A"/>
    <w:rsid w:val="00DD3559"/>
    <w:rsid w:val="00DD3FE7"/>
    <w:rsid w:val="00DD4A0D"/>
    <w:rsid w:val="00DD4A89"/>
    <w:rsid w:val="00DD534B"/>
    <w:rsid w:val="00DD575E"/>
    <w:rsid w:val="00DD7122"/>
    <w:rsid w:val="00DE02B8"/>
    <w:rsid w:val="00DE4D43"/>
    <w:rsid w:val="00DE68DE"/>
    <w:rsid w:val="00DE6D9E"/>
    <w:rsid w:val="00DF5293"/>
    <w:rsid w:val="00DF5BC7"/>
    <w:rsid w:val="00E02AE5"/>
    <w:rsid w:val="00E047CF"/>
    <w:rsid w:val="00E05878"/>
    <w:rsid w:val="00E10DB3"/>
    <w:rsid w:val="00E10DB4"/>
    <w:rsid w:val="00E12F43"/>
    <w:rsid w:val="00E14114"/>
    <w:rsid w:val="00E159E2"/>
    <w:rsid w:val="00E210A4"/>
    <w:rsid w:val="00E212E6"/>
    <w:rsid w:val="00E21FF9"/>
    <w:rsid w:val="00E24212"/>
    <w:rsid w:val="00E24BD8"/>
    <w:rsid w:val="00E25B0D"/>
    <w:rsid w:val="00E317EE"/>
    <w:rsid w:val="00E325A8"/>
    <w:rsid w:val="00E32DD0"/>
    <w:rsid w:val="00E34362"/>
    <w:rsid w:val="00E36AAF"/>
    <w:rsid w:val="00E3797C"/>
    <w:rsid w:val="00E41B27"/>
    <w:rsid w:val="00E41CC2"/>
    <w:rsid w:val="00E4375A"/>
    <w:rsid w:val="00E46B3E"/>
    <w:rsid w:val="00E50D9B"/>
    <w:rsid w:val="00E5131B"/>
    <w:rsid w:val="00E5142A"/>
    <w:rsid w:val="00E51885"/>
    <w:rsid w:val="00E5226E"/>
    <w:rsid w:val="00E549C6"/>
    <w:rsid w:val="00E55F4B"/>
    <w:rsid w:val="00E576FF"/>
    <w:rsid w:val="00E63208"/>
    <w:rsid w:val="00E63ABC"/>
    <w:rsid w:val="00E63FC8"/>
    <w:rsid w:val="00E65720"/>
    <w:rsid w:val="00E663B2"/>
    <w:rsid w:val="00E67AB9"/>
    <w:rsid w:val="00E70195"/>
    <w:rsid w:val="00E75A05"/>
    <w:rsid w:val="00E75E90"/>
    <w:rsid w:val="00E7645B"/>
    <w:rsid w:val="00E80922"/>
    <w:rsid w:val="00E81D44"/>
    <w:rsid w:val="00E822FD"/>
    <w:rsid w:val="00E843BE"/>
    <w:rsid w:val="00E86F67"/>
    <w:rsid w:val="00E903B5"/>
    <w:rsid w:val="00E968F3"/>
    <w:rsid w:val="00EA05E0"/>
    <w:rsid w:val="00EA1291"/>
    <w:rsid w:val="00EA6679"/>
    <w:rsid w:val="00EA7E38"/>
    <w:rsid w:val="00EB18AB"/>
    <w:rsid w:val="00EB1B92"/>
    <w:rsid w:val="00EB408C"/>
    <w:rsid w:val="00EB410B"/>
    <w:rsid w:val="00EC22B7"/>
    <w:rsid w:val="00EC2BB9"/>
    <w:rsid w:val="00EC6934"/>
    <w:rsid w:val="00ED00A3"/>
    <w:rsid w:val="00ED0CBE"/>
    <w:rsid w:val="00ED324E"/>
    <w:rsid w:val="00ED3CB3"/>
    <w:rsid w:val="00ED4F26"/>
    <w:rsid w:val="00ED50B8"/>
    <w:rsid w:val="00ED63FA"/>
    <w:rsid w:val="00ED6744"/>
    <w:rsid w:val="00ED71B1"/>
    <w:rsid w:val="00ED7664"/>
    <w:rsid w:val="00ED774D"/>
    <w:rsid w:val="00EE022A"/>
    <w:rsid w:val="00EE0A6E"/>
    <w:rsid w:val="00EE2838"/>
    <w:rsid w:val="00EE374C"/>
    <w:rsid w:val="00EE72CF"/>
    <w:rsid w:val="00EF341D"/>
    <w:rsid w:val="00EF3C39"/>
    <w:rsid w:val="00F02FDE"/>
    <w:rsid w:val="00F1196A"/>
    <w:rsid w:val="00F15E36"/>
    <w:rsid w:val="00F16631"/>
    <w:rsid w:val="00F211E6"/>
    <w:rsid w:val="00F21B59"/>
    <w:rsid w:val="00F24866"/>
    <w:rsid w:val="00F25315"/>
    <w:rsid w:val="00F26783"/>
    <w:rsid w:val="00F26A06"/>
    <w:rsid w:val="00F30138"/>
    <w:rsid w:val="00F316BE"/>
    <w:rsid w:val="00F316FD"/>
    <w:rsid w:val="00F31E6D"/>
    <w:rsid w:val="00F326E5"/>
    <w:rsid w:val="00F346CD"/>
    <w:rsid w:val="00F346D6"/>
    <w:rsid w:val="00F37A9D"/>
    <w:rsid w:val="00F45CC8"/>
    <w:rsid w:val="00F50622"/>
    <w:rsid w:val="00F54DA9"/>
    <w:rsid w:val="00F61B47"/>
    <w:rsid w:val="00F61C81"/>
    <w:rsid w:val="00F6290D"/>
    <w:rsid w:val="00F66A49"/>
    <w:rsid w:val="00F712F6"/>
    <w:rsid w:val="00F745A3"/>
    <w:rsid w:val="00F77B01"/>
    <w:rsid w:val="00F801E5"/>
    <w:rsid w:val="00F82CBE"/>
    <w:rsid w:val="00F913B0"/>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27C4"/>
    <w:rsid w:val="00FA392F"/>
    <w:rsid w:val="00FA513B"/>
    <w:rsid w:val="00FA53AD"/>
    <w:rsid w:val="00FB04DA"/>
    <w:rsid w:val="00FB14FD"/>
    <w:rsid w:val="00FB275B"/>
    <w:rsid w:val="00FB47F0"/>
    <w:rsid w:val="00FB4B45"/>
    <w:rsid w:val="00FB4C08"/>
    <w:rsid w:val="00FB7F10"/>
    <w:rsid w:val="00FC40FE"/>
    <w:rsid w:val="00FC6032"/>
    <w:rsid w:val="00FC6179"/>
    <w:rsid w:val="00FC6373"/>
    <w:rsid w:val="00FC64D0"/>
    <w:rsid w:val="00FC67F8"/>
    <w:rsid w:val="00FC6FAB"/>
    <w:rsid w:val="00FC7E35"/>
    <w:rsid w:val="00FD00F1"/>
    <w:rsid w:val="00FD4D77"/>
    <w:rsid w:val="00FD5AFB"/>
    <w:rsid w:val="00FD5D5E"/>
    <w:rsid w:val="00FD6E7A"/>
    <w:rsid w:val="00FE0537"/>
    <w:rsid w:val="00FE40ED"/>
    <w:rsid w:val="00FE483E"/>
    <w:rsid w:val="00FE7002"/>
    <w:rsid w:val="00FF3CD7"/>
    <w:rsid w:val="00FF4C94"/>
    <w:rsid w:val="00FF4E0D"/>
    <w:rsid w:val="00FF5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0D4A8F"/>
  <w15:docId w15:val="{010CCE45-4CA7-439F-A469-103975F0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21"/>
    <w:rPr>
      <w:lang w:eastAsia="en-GB"/>
    </w:rPr>
  </w:style>
  <w:style w:type="paragraph" w:styleId="Heading1">
    <w:name w:val="heading 1"/>
    <w:basedOn w:val="Normal"/>
    <w:next w:val="Normal"/>
    <w:link w:val="Heading1Char"/>
    <w:uiPriority w:val="9"/>
    <w:qFormat/>
    <w:rsid w:val="00AD1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46B3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5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itle 2,List Paragraph1,F5 List Paragraph,Dot pt,No Spacing1,List Paragraph Char Char Char,Indicator Text,Numbered Para 1,Bullet Points,MAIN CONTENT,Bullet 1,List Paragraph11,List Paragraph12,List Paragraph2,Normal numbered,OBC Bullet"/>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iPriority w:val="99"/>
    <w:unhideWhenUsed/>
    <w:rsid w:val="00097111"/>
    <w:rPr>
      <w:sz w:val="16"/>
      <w:szCs w:val="16"/>
    </w:rPr>
  </w:style>
  <w:style w:type="paragraph" w:styleId="CommentText">
    <w:name w:val="annotation text"/>
    <w:basedOn w:val="Normal"/>
    <w:link w:val="CommentTextChar"/>
    <w:unhideWhenUsed/>
    <w:rsid w:val="00097111"/>
    <w:rPr>
      <w:sz w:val="20"/>
    </w:rPr>
  </w:style>
  <w:style w:type="character" w:customStyle="1" w:styleId="CommentTextChar">
    <w:name w:val="Comment Text Char"/>
    <w:basedOn w:val="DefaultParagraphFont"/>
    <w:link w:val="CommentText"/>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686E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A5"/>
    <w:rPr>
      <w:rFonts w:asciiTheme="majorHAnsi" w:eastAsiaTheme="majorEastAsia" w:hAnsiTheme="majorHAnsi" w:cstheme="majorBidi"/>
      <w:spacing w:val="-10"/>
      <w:kern w:val="28"/>
      <w:sz w:val="56"/>
      <w:szCs w:val="56"/>
      <w:lang w:eastAsia="en-GB"/>
    </w:rPr>
  </w:style>
  <w:style w:type="character" w:customStyle="1" w:styleId="ListParagraphChar">
    <w:name w:val="List Paragraph Char"/>
    <w:aliases w:val="Title 2 Char,List Paragraph1 Char,F5 List Paragraph Char,Dot pt Char,No Spacing1 Char,List Paragraph Char Char Char Char,Indicator Text Char,Numbered Para 1 Char,Bullet Points Char,MAIN CONTENT Char,Bullet 1 Char,List Paragraph2 Char"/>
    <w:basedOn w:val="DefaultParagraphFont"/>
    <w:link w:val="ListParagraph"/>
    <w:uiPriority w:val="34"/>
    <w:qFormat/>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 w:type="character" w:customStyle="1" w:styleId="Heading1Char">
    <w:name w:val="Heading 1 Char"/>
    <w:basedOn w:val="DefaultParagraphFont"/>
    <w:link w:val="Heading1"/>
    <w:uiPriority w:val="9"/>
    <w:rsid w:val="00AD1A81"/>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rsid w:val="00E46B3E"/>
    <w:rPr>
      <w:rFonts w:asciiTheme="majorHAnsi" w:eastAsiaTheme="majorEastAsia" w:hAnsiTheme="majorHAnsi" w:cstheme="majorBidi"/>
      <w:color w:val="243F60" w:themeColor="accent1" w:themeShade="7F"/>
      <w:szCs w:val="24"/>
      <w:lang w:eastAsia="en-GB"/>
    </w:rPr>
  </w:style>
  <w:style w:type="paragraph" w:styleId="NormalWeb">
    <w:name w:val="Normal (Web)"/>
    <w:basedOn w:val="Normal"/>
    <w:uiPriority w:val="99"/>
    <w:unhideWhenUsed/>
    <w:rsid w:val="0027704E"/>
    <w:pPr>
      <w:spacing w:before="100" w:beforeAutospacing="1" w:after="100" w:afterAutospacing="1"/>
      <w:ind w:left="0" w:firstLine="0"/>
    </w:pPr>
    <w:rPr>
      <w:rFonts w:ascii="Times New Roman" w:eastAsia="Times New Roman" w:hAnsi="Times New Roman"/>
      <w:szCs w:val="24"/>
      <w:lang w:eastAsia="en-US"/>
    </w:rPr>
  </w:style>
  <w:style w:type="character" w:styleId="UnresolvedMention">
    <w:name w:val="Unresolved Mention"/>
    <w:basedOn w:val="DefaultParagraphFont"/>
    <w:uiPriority w:val="99"/>
    <w:semiHidden/>
    <w:unhideWhenUsed/>
    <w:rsid w:val="000A6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66477178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wansea.ac.uk/undergraduate/fees-and-funding/tuition-fees/additionalcosts/" TargetMode="External"/><Relationship Id="rId4" Type="http://schemas.openxmlformats.org/officeDocument/2006/relationships/settings" Target="settings.xml"/><Relationship Id="rId9" Type="http://schemas.openxmlformats.org/officeDocument/2006/relationships/hyperlink" Target="https://www.swansea.ac.uk/undergraduate/fees-and-fun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F03BA-6F60-4076-8CE7-523BBE1D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2036</Words>
  <Characters>11610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HEFCW</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rachel.ogorman</dc:creator>
  <cp:lastModifiedBy>Alison Hutchings</cp:lastModifiedBy>
  <cp:revision>2</cp:revision>
  <cp:lastPrinted>2018-01-31T10:29:00Z</cp:lastPrinted>
  <dcterms:created xsi:type="dcterms:W3CDTF">2022-08-06T13:33:00Z</dcterms:created>
  <dcterms:modified xsi:type="dcterms:W3CDTF">2022-08-06T13:33:00Z</dcterms:modified>
</cp:coreProperties>
</file>