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9.0.0 -->
  <w:body>
    <w:p w:rsidR="005E71CF">
      <w:pPr>
        <w:pStyle w:val="BodyText"/>
        <w:bidi w:val="0"/>
        <w:spacing w:before="75" w:line="276" w:lineRule="auto"/>
        <w:ind w:left="2921" w:right="323" w:hanging="2583"/>
      </w:pPr>
      <w:r>
        <w:rPr>
          <w:rtl w:val="0"/>
          <w:lang w:val="cy-GB"/>
        </w:rPr>
        <w:t>Datganiad Prifysgol Abertawe ar Newidiadau i Gymwysterau mewn Ysgolion a Cholegau yn Lloegr, Cymru, Gogledd Iwerddon a'r Alban.</w:t>
      </w:r>
    </w:p>
    <w:p w:rsidR="005E71CF">
      <w:pPr>
        <w:pStyle w:val="BodyText"/>
        <w:bidi w:val="0"/>
        <w:ind w:left="0"/>
        <w:rPr>
          <w:sz w:val="24"/>
        </w:rPr>
      </w:pPr>
    </w:p>
    <w:p w:rsidR="005E71CF">
      <w:pPr>
        <w:pStyle w:val="BodyText"/>
        <w:bidi w:val="0"/>
        <w:ind w:left="0"/>
        <w:rPr>
          <w:sz w:val="24"/>
        </w:rPr>
      </w:pPr>
    </w:p>
    <w:p w:rsidR="005E71CF">
      <w:pPr>
        <w:pStyle w:val="BodyText"/>
        <w:bidi w:val="0"/>
        <w:spacing w:before="139" w:line="276" w:lineRule="auto"/>
        <w:ind w:right="307"/>
      </w:pPr>
      <w:r>
        <w:rPr>
          <w:rtl w:val="0"/>
          <w:lang w:val="cy-GB"/>
        </w:rPr>
        <w:t xml:space="preserve">Mae'r Brifysgol wedi rhoi ystyriaeth ofalus i'r wybodaeth sydd ar gael hyd yn hyn ynghylch diwygio cymwysterau a newidiadau i gymwysterau Safon Uwch a Safon UG, ymhlith cymwysterau eraill. </w:t>
      </w:r>
      <w:r>
        <w:rPr>
          <w:rtl w:val="0"/>
          <w:lang w:val="cy-GB"/>
        </w:rPr>
        <w:t>Rydym yn cydnabod y bydd newidiadau i gymwysterau TGAU, UG a Safon Uwch yn Lloegr, ynghyd â fframweithiau cymwysterau gwahanol yng Nghymru a Gogledd Iwerddon, yn peri heriau i ysgolion, colegau a darparwyr addysg uwch yn y blynyddoedd i ddod.</w:t>
      </w:r>
    </w:p>
    <w:p w:rsidR="005E71CF">
      <w:pPr>
        <w:pStyle w:val="BodyText"/>
        <w:bidi w:val="0"/>
        <w:spacing w:before="201" w:line="276" w:lineRule="auto"/>
        <w:ind w:right="275"/>
      </w:pPr>
      <w:r>
        <w:rPr>
          <w:rtl w:val="0"/>
          <w:lang w:val="cy-GB"/>
        </w:rPr>
        <w:t xml:space="preserve">Rydym yn rhagweld y bydd ysgolion a cholegau yn Lloegr yn llunio cynlluniau amrywiol i baratoi am y newidiadau a'r patrymau astudio gwahanol ar draws Blynyddoedd 12 a 13. </w:t>
      </w:r>
      <w:r>
        <w:rPr>
          <w:rtl w:val="0"/>
          <w:lang w:val="cy-GB"/>
        </w:rPr>
        <w:t>Yn yr un modd, rydym yn cydnabod, er y caiff myfyrwyr yn Lloegr eu hasesu ar sail linol, y bydd darpariaeth fodiwlaidd ar gyfer Safon UG a Safon Uwch ar gael o hyd i ddisgyblion yng Nghymru a Gogledd Iwerddon.</w:t>
      </w:r>
    </w:p>
    <w:p w:rsidR="005E71CF">
      <w:pPr>
        <w:pStyle w:val="BodyText"/>
        <w:bidi w:val="0"/>
        <w:spacing w:before="201" w:line="276" w:lineRule="auto"/>
        <w:ind w:right="392"/>
      </w:pPr>
      <w:r>
        <w:rPr>
          <w:rtl w:val="0"/>
          <w:lang w:val="cy-GB"/>
        </w:rPr>
        <w:t xml:space="preserve">Mae profiad yn dangos bod tueddiad cynyddol i ymgeiswyr gyflwyno portffolio o gymwysterau; </w:t>
      </w:r>
      <w:r>
        <w:rPr>
          <w:rtl w:val="0"/>
          <w:lang w:val="cy-GB"/>
        </w:rPr>
        <w:t>byddwn bob amser yn ymdrechu i ystyried pob cais yn unigol ac i deilwra ein cynigion ar sail hynny.</w:t>
      </w:r>
    </w:p>
    <w:p w:rsidR="005E71CF">
      <w:pPr>
        <w:pStyle w:val="BodyText"/>
        <w:bidi w:val="0"/>
        <w:spacing w:before="201"/>
      </w:pPr>
      <w:r>
        <w:rPr>
          <w:rtl w:val="0"/>
          <w:lang w:val="cy-GB"/>
        </w:rPr>
        <w:t>I'r perwyl hwn, gall y canllawiau ychwanegol i'r broses dderbyn fod o gymorth:</w:t>
      </w:r>
    </w:p>
    <w:p w:rsidR="005E71CF">
      <w:pPr>
        <w:pStyle w:val="BodyText"/>
        <w:bidi w:val="0"/>
        <w:spacing w:before="5"/>
        <w:ind w:left="0"/>
        <w:rPr>
          <w:sz w:val="20"/>
        </w:rPr>
      </w:pPr>
    </w:p>
    <w:p w:rsidR="005E71CF">
      <w:pPr>
        <w:pStyle w:val="BodyText"/>
        <w:bidi w:val="0"/>
        <w:spacing w:before="1" w:line="276" w:lineRule="auto"/>
        <w:ind w:right="93"/>
      </w:pPr>
      <w:r>
        <w:rPr>
          <w:rtl w:val="0"/>
          <w:lang w:val="cy-GB"/>
        </w:rPr>
        <w:t xml:space="preserve">Pob myfyriwr: </w:t>
      </w:r>
      <w:r>
        <w:rPr>
          <w:rtl w:val="0"/>
          <w:lang w:val="cy-GB"/>
        </w:rPr>
        <w:t xml:space="preserve">Wrth ystyried cymwysterau ymgeiswyr, byddwn yn ystyried y cyd-destun maent wedi bod yn astudio ynddo a'r cyfleoedd addysgol sydd wedi bod ar gael iddynt. </w:t>
      </w:r>
      <w:r>
        <w:rPr>
          <w:rtl w:val="0"/>
          <w:lang w:val="cy-GB"/>
        </w:rPr>
        <w:t>Rydym yn derbyn rhywfaint o'r wybodaeth hon yn uniongyrchol gan UCAS, ond bydd o gymorth i ni os gall ysgolion a cholegau gynnwys  gwybodaeth ychwanegol sy'n berthnasol yn y geirda.</w:t>
      </w:r>
    </w:p>
    <w:p w:rsidR="005E71CF">
      <w:pPr>
        <w:pStyle w:val="BodyText"/>
        <w:bidi w:val="0"/>
        <w:ind w:left="0"/>
        <w:rPr>
          <w:sz w:val="24"/>
        </w:rPr>
      </w:pPr>
    </w:p>
    <w:p w:rsidR="005E71CF">
      <w:pPr>
        <w:pStyle w:val="BodyText"/>
        <w:bidi w:val="0"/>
        <w:ind w:left="0"/>
        <w:rPr>
          <w:sz w:val="24"/>
        </w:rPr>
      </w:pPr>
    </w:p>
    <w:p w:rsidR="005E71CF">
      <w:pPr>
        <w:pStyle w:val="BodyText"/>
        <w:bidi w:val="0"/>
        <w:spacing w:before="140"/>
      </w:pPr>
      <w:r>
        <w:rPr>
          <w:u w:val="single"/>
          <w:rtl w:val="0"/>
          <w:lang w:val="cy-GB"/>
        </w:rPr>
        <w:t>TGAU</w:t>
      </w:r>
    </w:p>
    <w:p w:rsidR="005E71CF">
      <w:pPr>
        <w:pStyle w:val="BodyText"/>
        <w:bidi w:val="0"/>
        <w:spacing w:before="9"/>
        <w:ind w:left="0"/>
        <w:rPr>
          <w:sz w:val="12"/>
        </w:rPr>
      </w:pPr>
    </w:p>
    <w:p w:rsidR="005E71CF">
      <w:pPr>
        <w:pStyle w:val="BodyText"/>
        <w:bidi w:val="0"/>
        <w:spacing w:before="91" w:line="276" w:lineRule="auto"/>
        <w:ind w:right="447"/>
      </w:pPr>
      <w:r>
        <w:rPr>
          <w:rtl w:val="0"/>
          <w:lang w:val="cy-GB"/>
        </w:rPr>
        <w:t>Lleiafswm y cymwysterau y bydd eu hangen ar ymgeisydd ar hyn o bryd i gael mynediad i gwrs israddedig ym Mhrifysgol Abertawe yw TGAU gradd C mewn Saesneg neu Gymraeg neu gymhwyster cyfwerth.</w:t>
      </w:r>
    </w:p>
    <w:p w:rsidR="005E71CF">
      <w:pPr>
        <w:pStyle w:val="BodyText"/>
        <w:bidi w:val="0"/>
        <w:spacing w:before="199" w:line="278" w:lineRule="auto"/>
        <w:ind w:right="215"/>
      </w:pPr>
      <w:r>
        <w:rPr>
          <w:rtl w:val="0"/>
          <w:lang w:val="cy-GB"/>
        </w:rPr>
        <w:t>Byddwn yn parhau i ddisgwyl i'r holl ymgeiswyr ennill o leiaf radd C mewn TGAU Iaith Saesneg neu Gymraeg ac o leiaf 4 mewn TGAU Iaith Saesneg sy'n cael ei sefyll yn Lloegr.</w:t>
      </w:r>
    </w:p>
    <w:p w:rsidR="005E71CF">
      <w:pPr>
        <w:pStyle w:val="BodyText"/>
        <w:bidi w:val="0"/>
        <w:spacing w:before="197" w:line="276" w:lineRule="auto"/>
        <w:ind w:right="97"/>
      </w:pPr>
      <w:r>
        <w:rPr>
          <w:rtl w:val="0"/>
          <w:lang w:val="cy-GB"/>
        </w:rPr>
        <w:t>Yn ogystal â’r uchod, gallai Colegau a rhaglenni unigol yn y Brifysgol bennu isafswm gofynion mynediad ar gyfer lefelau cyrhaeddiad mewn TGAU neu gymhwyster cyfwerth, yn enwedig mewn Mathemateg.</w:t>
      </w:r>
    </w:p>
    <w:p w:rsidR="005E71CF">
      <w:pPr>
        <w:pStyle w:val="BodyText"/>
        <w:bidi w:val="0"/>
        <w:ind w:left="0"/>
        <w:rPr>
          <w:sz w:val="24"/>
        </w:rPr>
      </w:pPr>
    </w:p>
    <w:p w:rsidR="005E71CF">
      <w:pPr>
        <w:pStyle w:val="BodyText"/>
        <w:bidi w:val="0"/>
        <w:ind w:left="0"/>
        <w:rPr>
          <w:sz w:val="24"/>
        </w:rPr>
      </w:pPr>
    </w:p>
    <w:p w:rsidR="005E71CF">
      <w:pPr>
        <w:pStyle w:val="BodyText"/>
        <w:bidi w:val="0"/>
        <w:spacing w:before="140"/>
      </w:pPr>
      <w:r>
        <w:rPr>
          <w:u w:val="single"/>
          <w:rtl w:val="0"/>
          <w:lang w:val="cy-GB"/>
        </w:rPr>
        <w:t>Safon UG</w:t>
      </w:r>
    </w:p>
    <w:p w:rsidR="005E71CF">
      <w:pPr>
        <w:pStyle w:val="BodyText"/>
        <w:bidi w:val="0"/>
        <w:spacing w:before="10"/>
        <w:ind w:left="0"/>
        <w:rPr>
          <w:sz w:val="12"/>
        </w:rPr>
      </w:pPr>
    </w:p>
    <w:p w:rsidR="005E71CF">
      <w:pPr>
        <w:pStyle w:val="BodyText"/>
        <w:bidi w:val="0"/>
        <w:spacing w:before="91" w:line="276" w:lineRule="auto"/>
        <w:ind w:right="178"/>
      </w:pPr>
      <w:r>
        <w:rPr>
          <w:rtl w:val="0"/>
          <w:lang w:val="cy-GB"/>
        </w:rPr>
        <w:t xml:space="preserve">Gallwn sicrhau ysgolion a cholegau y byddwn yn parhau i allu nodi a dethol myfyrwyr â gallu academaidd uchel hyd yn oed lle nad oes graddau Safon UG ar gael. </w:t>
      </w:r>
      <w:r>
        <w:rPr>
          <w:rtl w:val="0"/>
          <w:lang w:val="cy-GB"/>
        </w:rPr>
        <w:t xml:space="preserve">Mae graddau Safon UG bob amser wedi bod yn ddefnyddiol i Abertawe fel rhan o gais cyffredinol, ond rydym yn gwneud ein cynigion ar sail perfformiad terfynol ac nid ydym yn gofyn am gymhwyster Safon UG ychwanegol. </w:t>
      </w:r>
      <w:r>
        <w:rPr>
          <w:rtl w:val="0"/>
          <w:lang w:val="cy-GB"/>
        </w:rPr>
        <w:t>Mae penderfyniadau bob amser yn seiliedig ar amrywiaeth eang o ffactorau, gan gynnwys cymwysterau TGAU neu gyrhaeddiad cyfwerth, rhagamcanion o raddau, cryfder y datganiad personol a'r dystiolaeth o gyflawniad a photensial a ddarperir yn y geirda academaidd.</w:t>
      </w:r>
    </w:p>
    <w:p w:rsidR="005E71CF">
      <w:pPr>
        <w:bidi w:val="0"/>
        <w:spacing w:line="276" w:lineRule="auto"/>
        <w:sectPr>
          <w:type w:val="continuous"/>
          <w:pgSz w:w="11910" w:h="16840"/>
          <w:pgMar w:top="1340" w:right="1340" w:bottom="280" w:left="1340" w:header="720" w:footer="720" w:gutter="0"/>
          <w:cols w:space="720"/>
        </w:sectPr>
      </w:pPr>
    </w:p>
    <w:p w:rsidR="005E71CF">
      <w:pPr>
        <w:pStyle w:val="BodyText"/>
        <w:bidi w:val="0"/>
        <w:spacing w:before="75"/>
      </w:pPr>
      <w:r>
        <w:rPr>
          <w:u w:val="single"/>
          <w:rtl w:val="0"/>
          <w:lang w:val="cy-GB"/>
        </w:rPr>
        <w:t>Myfyrwyr sy'n cynnig cymwysterau Safon Uwch</w:t>
      </w:r>
      <w:r>
        <w:rPr>
          <w:u w:val="none"/>
          <w:rtl w:val="0"/>
          <w:lang w:val="cy-GB"/>
        </w:rPr>
        <w:t>:</w:t>
      </w:r>
    </w:p>
    <w:p w:rsidR="005E71CF">
      <w:pPr>
        <w:pStyle w:val="BodyText"/>
        <w:bidi w:val="0"/>
        <w:spacing w:before="9"/>
        <w:ind w:left="0"/>
        <w:rPr>
          <w:sz w:val="12"/>
        </w:rPr>
      </w:pPr>
    </w:p>
    <w:p w:rsidR="005E71CF">
      <w:pPr>
        <w:pStyle w:val="ListParagraph"/>
        <w:numPr>
          <w:ilvl w:val="0"/>
          <w:numId w:val="1"/>
        </w:numPr>
        <w:tabs>
          <w:tab w:val="left" w:pos="322"/>
        </w:tabs>
        <w:bidi w:val="0"/>
        <w:spacing w:before="92" w:line="276" w:lineRule="auto"/>
        <w:ind w:firstLine="0"/>
      </w:pPr>
      <w:r>
        <w:rPr>
          <w:rtl w:val="0"/>
          <w:lang w:val="cy-GB"/>
        </w:rPr>
        <w:t xml:space="preserve">Bydd cynigion nodweddiadol yn Abertawe yn parhau'n seiliedig ar berfformiad terfynol mewn tri phwnc ar Safon Uwch. </w:t>
      </w:r>
      <w:r>
        <w:rPr>
          <w:rtl w:val="0"/>
          <w:lang w:val="cy-GB"/>
        </w:rPr>
        <w:t>Byddwn yn parhau i gofio bod myfyrwyr yn gwneud cais o amrywiaeth o gyd-destunau ysgol a choleg, pob un yn cynnig amrywiaeth a niferoedd gwahanol o bynciau ar lefelau amrywiol i'r myfyrwyr.</w:t>
      </w:r>
    </w:p>
    <w:p w:rsidR="005E71CF">
      <w:pPr>
        <w:pStyle w:val="ListParagraph"/>
        <w:numPr>
          <w:ilvl w:val="0"/>
          <w:numId w:val="1"/>
        </w:numPr>
        <w:tabs>
          <w:tab w:val="left" w:pos="322"/>
        </w:tabs>
        <w:bidi w:val="0"/>
        <w:spacing w:before="202" w:line="276" w:lineRule="auto"/>
        <w:ind w:right="415" w:firstLine="0"/>
      </w:pPr>
      <w:r>
        <w:rPr>
          <w:rtl w:val="0"/>
          <w:lang w:val="cy-GB"/>
        </w:rPr>
        <w:t xml:space="preserve">Ni fydd y rhai nad oes ganddynt gymwysterau UG dan anfantais. </w:t>
      </w:r>
      <w:r>
        <w:rPr>
          <w:rtl w:val="0"/>
          <w:lang w:val="cy-GB"/>
        </w:rPr>
        <w:t xml:space="preserve">Gall astudio ychwanegol, ar ffurfiau amrywiol, helpu disgyblion i baratoi ar gyfer heriau astudio yn y brifysgol. </w:t>
      </w:r>
      <w:r>
        <w:rPr>
          <w:rtl w:val="0"/>
          <w:lang w:val="cy-GB"/>
        </w:rPr>
        <w:t>Bydd myfyrwyr sy'n gallu ychwanegu at eu tri chymhwyster Safon Uwch drwy astudio ychwanegol, megis  cymhwyster neu gymwysterau Safon Uwch ychwanegol, Safon UG neu Gymhwyster Prosiect Estynedig, yn cael eu hannog i wneud hynny.</w:t>
      </w:r>
    </w:p>
    <w:p w:rsidR="005E71CF">
      <w:pPr>
        <w:pStyle w:val="ListParagraph"/>
        <w:numPr>
          <w:ilvl w:val="0"/>
          <w:numId w:val="1"/>
        </w:numPr>
        <w:tabs>
          <w:tab w:val="left" w:pos="322"/>
        </w:tabs>
        <w:bidi w:val="0"/>
        <w:spacing w:before="202" w:line="276" w:lineRule="auto"/>
        <w:ind w:right="146" w:firstLine="0"/>
      </w:pPr>
      <w:r>
        <w:rPr>
          <w:rtl w:val="0"/>
          <w:lang w:val="cy-GB"/>
        </w:rPr>
        <w:t xml:space="preserve">Mewn sefyllfaoedd lle mae gennym ofynion penodol ynghylch astudio ychwanegol, byddwn yn datgan hynny'n glir. </w:t>
      </w:r>
      <w:r>
        <w:rPr>
          <w:rtl w:val="0"/>
          <w:lang w:val="cy-GB"/>
        </w:rPr>
        <w:t xml:space="preserve">Gallwn gynnwys astudio ychwanegol yn nhelerau cynnig, drwy ddarparu ffyrdd eraill i ymgeisydd fodloni ein gofynion. </w:t>
      </w:r>
      <w:r>
        <w:rPr>
          <w:rtl w:val="0"/>
          <w:lang w:val="cy-GB"/>
        </w:rPr>
        <w:t xml:space="preserve">Yn yr achosion hyn, bydd dwy elfen i gynigion, un ar sail tri phwnc ar Safon Uwch, a llwybr amgen, sy'n cynnwys ennill cymhwyster ychwanegol (EPQ fel arfer). </w:t>
      </w:r>
      <w:r>
        <w:rPr>
          <w:rtl w:val="0"/>
          <w:lang w:val="cy-GB"/>
        </w:rPr>
        <w:t>Yn yr achosion hyn, gellir lleihau'r radd ofynnol yn un o'r tair Safon Uwch, i gydnabod yr astudio ychwanegol.</w:t>
      </w:r>
    </w:p>
    <w:p w:rsidR="005E71CF">
      <w:pPr>
        <w:pStyle w:val="ListParagraph"/>
        <w:numPr>
          <w:ilvl w:val="0"/>
          <w:numId w:val="1"/>
        </w:numPr>
        <w:tabs>
          <w:tab w:val="left" w:pos="322"/>
        </w:tabs>
        <w:bidi w:val="0"/>
        <w:spacing w:before="200" w:line="278" w:lineRule="auto"/>
        <w:ind w:right="265" w:firstLine="0"/>
      </w:pPr>
      <w:r>
        <w:rPr>
          <w:rtl w:val="0"/>
          <w:lang w:val="cy-GB"/>
        </w:rPr>
        <w:t>Bydd y Brifysgol hefyd yn ystyried ehangu nifer y cyrsiau lle mae ymgeiswyr sydd wedi ennill naill ai Cymhwyster Prosiect Estynedig neu bedwerydd pwnc ar Safon UG neu Safon Uwch yn derbyn cynnig amgen.</w:t>
      </w:r>
    </w:p>
    <w:p w:rsidR="005E71CF">
      <w:pPr>
        <w:pStyle w:val="ListParagraph"/>
        <w:numPr>
          <w:ilvl w:val="0"/>
          <w:numId w:val="1"/>
        </w:numPr>
        <w:tabs>
          <w:tab w:val="left" w:pos="322"/>
        </w:tabs>
        <w:bidi w:val="0"/>
        <w:spacing w:before="197" w:line="276" w:lineRule="auto"/>
        <w:ind w:right="421" w:firstLine="0"/>
      </w:pPr>
      <w:r>
        <w:rPr>
          <w:rtl w:val="0"/>
          <w:lang w:val="cy-GB"/>
        </w:rPr>
        <w:t>Ym mhob achos, gall y Swyddfa Derbyn ddefnyddio astudio ychwanegol fel rhan o'i phroses ddethol derfynol yn ystod yr haf, os oes lleoedd ar gael, ar gyfer ymgeiswyr sydd wedi methu bodloni telerau eu cynnig o drwch blewyn yn unig.</w:t>
      </w:r>
    </w:p>
    <w:p w:rsidR="005E71CF">
      <w:pPr>
        <w:pStyle w:val="ListParagraph"/>
        <w:numPr>
          <w:ilvl w:val="0"/>
          <w:numId w:val="1"/>
        </w:numPr>
        <w:tabs>
          <w:tab w:val="left" w:pos="322"/>
        </w:tabs>
        <w:bidi w:val="0"/>
        <w:spacing w:before="199" w:line="276" w:lineRule="auto"/>
        <w:ind w:right="523" w:firstLine="0"/>
      </w:pPr>
      <w:r>
        <w:rPr>
          <w:rtl w:val="0"/>
          <w:lang w:val="cy-GB"/>
        </w:rPr>
        <w:t xml:space="preserve">Dylai myfyrwyr benderfynu a ddylent ymgymryd ag astudio ychwanegol ai peidio, ac os felly beth a faint, ar sail eu lles academaidd gorau yn bennaf. </w:t>
      </w:r>
      <w:r>
        <w:rPr>
          <w:rtl w:val="0"/>
          <w:lang w:val="cy-GB"/>
        </w:rPr>
        <w:t>Mae ein timau derbyn ac estyn allan yn croesawu ymholiadau gan ysgolion, colegau a myfyrwyr a hoffai gael cyngor ar y ffordd orau o fodloni ein gofynion derbyn.</w:t>
      </w:r>
    </w:p>
    <w:p w:rsidR="005E71CF">
      <w:pPr>
        <w:pStyle w:val="ListParagraph"/>
        <w:numPr>
          <w:ilvl w:val="0"/>
          <w:numId w:val="1"/>
        </w:numPr>
        <w:tabs>
          <w:tab w:val="left" w:pos="322"/>
        </w:tabs>
        <w:bidi w:val="0"/>
        <w:spacing w:before="199" w:line="278" w:lineRule="auto"/>
        <w:ind w:right="210" w:firstLine="0"/>
      </w:pPr>
      <w:r>
        <w:rPr>
          <w:rtl w:val="0"/>
          <w:lang w:val="cy-GB"/>
        </w:rPr>
        <w:t>Lle bo ymgeiswyr yn gwneud Safon Uwch mewn pwnc Gwyddoniaeth, bydd y Brifysgol yn disgwyl bod y myfyriwr yn cael ei asesu'n llwyddiannus mewn sgiliau ymarferol.</w:t>
      </w:r>
    </w:p>
    <w:p w:rsidR="005E71CF">
      <w:pPr>
        <w:pStyle w:val="BodyText"/>
        <w:bidi w:val="0"/>
        <w:ind w:left="0"/>
        <w:rPr>
          <w:sz w:val="24"/>
        </w:rPr>
      </w:pPr>
    </w:p>
    <w:p w:rsidR="005E71CF">
      <w:pPr>
        <w:pStyle w:val="BodyText"/>
        <w:bidi w:val="0"/>
        <w:spacing w:before="10"/>
        <w:ind w:left="0"/>
        <w:rPr>
          <w:sz w:val="35"/>
        </w:rPr>
      </w:pPr>
    </w:p>
    <w:p w:rsidR="005E71CF">
      <w:pPr>
        <w:pStyle w:val="BodyText"/>
        <w:bidi w:val="0"/>
      </w:pPr>
      <w:r>
        <w:rPr>
          <w:u w:val="single"/>
          <w:rtl w:val="0"/>
          <w:lang w:val="cy-GB"/>
        </w:rPr>
        <w:t>Myfyrwyr â chymwysterau eraill</w:t>
      </w:r>
    </w:p>
    <w:p w:rsidR="005E71CF">
      <w:pPr>
        <w:pStyle w:val="BodyText"/>
        <w:bidi w:val="0"/>
        <w:spacing w:before="6"/>
        <w:ind w:left="0"/>
        <w:rPr>
          <w:sz w:val="12"/>
        </w:rPr>
      </w:pPr>
    </w:p>
    <w:p w:rsidR="005E71CF">
      <w:pPr>
        <w:pStyle w:val="ListParagraph"/>
        <w:numPr>
          <w:ilvl w:val="1"/>
          <w:numId w:val="1"/>
        </w:numPr>
        <w:tabs>
          <w:tab w:val="left" w:pos="821"/>
        </w:tabs>
        <w:bidi w:val="0"/>
        <w:spacing w:before="92" w:line="276" w:lineRule="auto"/>
        <w:ind w:right="189"/>
        <w:jc w:val="left"/>
      </w:pPr>
      <w:r>
        <w:rPr>
          <w:rtl w:val="0"/>
          <w:lang w:val="cy-GB"/>
        </w:rPr>
        <w:t xml:space="preserve">Rydym yn croesawu Diploma Uwch graddedig newydd Bagloriaeth Cymru ac, yn benodol, rydym o'r farn bod y prosiect unigol yn ffurf ardderchog ar ddysgu ychwanegol, yn enwedig pan fo'r prosiect yn seiliedig ar faes sy'n gysylltiedig â'r cwrs addysg uwch a ddewiswyd gan yr ymgeisydd. </w:t>
      </w:r>
      <w:r>
        <w:rPr>
          <w:rtl w:val="0"/>
          <w:lang w:val="cy-GB"/>
        </w:rPr>
        <w:t xml:space="preserve">Bydd ymgeiswyr yn cael dewis rhwng cynnig tair gradd ar Safon Uwch neu ddwy radd ar Safon Uwch ac un Radd Bagloriaeth Cymru.  </w:t>
      </w:r>
      <w:r>
        <w:rPr>
          <w:rtl w:val="0"/>
          <w:lang w:val="cy-GB"/>
        </w:rPr>
        <w:t>Mae hyn yn berthnasol hefyd i ysgoloriaethau derbyn sy'n amodol ar gyflawniad academaidd.</w:t>
      </w:r>
    </w:p>
    <w:p w:rsidR="005E71CF">
      <w:pPr>
        <w:pStyle w:val="ListParagraph"/>
        <w:numPr>
          <w:ilvl w:val="1"/>
          <w:numId w:val="1"/>
        </w:numPr>
        <w:tabs>
          <w:tab w:val="left" w:pos="821"/>
        </w:tabs>
        <w:bidi w:val="0"/>
        <w:spacing w:line="276" w:lineRule="auto"/>
        <w:ind w:right="299"/>
        <w:jc w:val="left"/>
      </w:pPr>
      <w:r>
        <w:rPr>
          <w:rtl w:val="0"/>
          <w:lang w:val="cy-GB"/>
        </w:rPr>
        <w:t xml:space="preserve">Rydym yn croesawu'r cymhwyster Prosiect Estynedig fel math o astudio ychwanegol, oherwydd ei fod yn baratoad ardderchog ar gyfer astudio ar lefel addysg uwch. </w:t>
      </w:r>
      <w:r>
        <w:rPr>
          <w:rtl w:val="0"/>
          <w:lang w:val="cy-GB"/>
        </w:rPr>
        <w:t>Dylai myfyrwyr ddweud wrthym am hyn yn eu Datganiad Personol ac mae'n bosib y byddwn yn ei ystyried wrth benderfynu a allwn wneud cynnig ai peidio (gweler y cyngor ar astudio ychwanegol ar Safon Uwch uchod).</w:t>
      </w:r>
    </w:p>
    <w:p w:rsidR="005E71CF">
      <w:pPr>
        <w:pStyle w:val="ListParagraph"/>
        <w:numPr>
          <w:ilvl w:val="1"/>
          <w:numId w:val="1"/>
        </w:numPr>
        <w:tabs>
          <w:tab w:val="left" w:pos="821"/>
        </w:tabs>
        <w:bidi w:val="0"/>
        <w:spacing w:line="276" w:lineRule="auto"/>
        <w:ind w:right="230"/>
        <w:jc w:val="left"/>
      </w:pPr>
      <w:r>
        <w:rPr>
          <w:rtl w:val="0"/>
          <w:lang w:val="cy-GB"/>
        </w:rPr>
        <w:t xml:space="preserve">Rydym yn croesawu ceisiadau gan fyfyrwyr BTEC ar yr amod bod y cynnwys yn baratoad addas ar gyfer y rhaglen gradd maent wedi'i dewis. </w:t>
      </w:r>
      <w:r>
        <w:rPr>
          <w:rtl w:val="0"/>
          <w:lang w:val="cy-GB"/>
        </w:rPr>
        <w:t xml:space="preserve">Ar gyfer rhai rhaglenni, bydd gofynion BTEC yn nodi gofynion Safon Uwch  ychwanegol, e.e. </w:t>
      </w:r>
      <w:r>
        <w:rPr>
          <w:rtl w:val="0"/>
          <w:lang w:val="cy-GB"/>
        </w:rPr>
        <w:t xml:space="preserve">Mathemateg Safon Uwch, Gradd B, ar gyfer rhaglenni BEng mewn Peirianneg Fecanyddol. </w:t>
      </w:r>
      <w:r>
        <w:rPr>
          <w:rtl w:val="0"/>
          <w:lang w:val="cy-GB"/>
        </w:rPr>
        <w:t>Rydym yn croesawu ymholiadau am sut gall cyfuniad o gymwysterau fodloni ein gofynion mynediad mwy nodweddiadol os nad ydynt eisoes wedi'u cyhoeddi ar ein tudalennau cyrsiau.</w:t>
      </w:r>
    </w:p>
    <w:p w:rsidR="005E71CF">
      <w:pPr>
        <w:bidi w:val="0"/>
        <w:spacing w:line="276" w:lineRule="auto"/>
        <w:sectPr>
          <w:pgSz w:w="11910" w:h="16840"/>
          <w:pgMar w:top="1340" w:right="1360" w:bottom="280" w:left="1340" w:header="720" w:footer="720" w:gutter="0"/>
          <w:cols w:space="720"/>
        </w:sectPr>
      </w:pPr>
    </w:p>
    <w:p w:rsidR="005E71CF">
      <w:pPr>
        <w:pStyle w:val="ListParagraph"/>
        <w:numPr>
          <w:ilvl w:val="1"/>
          <w:numId w:val="1"/>
        </w:numPr>
        <w:tabs>
          <w:tab w:val="left" w:pos="481"/>
        </w:tabs>
        <w:bidi w:val="0"/>
        <w:spacing w:before="75" w:line="276" w:lineRule="auto"/>
        <w:ind w:left="480" w:right="481"/>
        <w:jc w:val="left"/>
      </w:pPr>
      <w:r>
        <w:rPr>
          <w:rtl w:val="0"/>
          <w:lang w:val="cy-GB"/>
        </w:rPr>
        <w:t xml:space="preserve">Ystyrir y Fagloriaeth Ryngwladol yn ffafriol iawn. </w:t>
      </w:r>
      <w:r>
        <w:rPr>
          <w:rtl w:val="0"/>
          <w:lang w:val="cy-GB"/>
        </w:rPr>
        <w:t>Mae llawer o gyrsiau'n gofyn am bynciau a graddau penodol ar lefel Uwch.</w:t>
      </w:r>
    </w:p>
    <w:p w:rsidR="005E71CF">
      <w:pPr>
        <w:pStyle w:val="ListParagraph"/>
        <w:numPr>
          <w:ilvl w:val="1"/>
          <w:numId w:val="1"/>
        </w:numPr>
        <w:tabs>
          <w:tab w:val="left" w:pos="481"/>
        </w:tabs>
        <w:bidi w:val="0"/>
        <w:spacing w:before="0" w:line="276" w:lineRule="auto"/>
        <w:ind w:left="480" w:right="137"/>
        <w:jc w:val="left"/>
      </w:pPr>
      <w:r>
        <w:rPr>
          <w:rtl w:val="0"/>
          <w:lang w:val="cy-GB"/>
        </w:rPr>
        <w:t xml:space="preserve">Rydym hefyd yn croesawu ceisiadau gan fyfyrwyr â chymwysterau'r Alban. </w:t>
      </w:r>
      <w:r>
        <w:rPr>
          <w:rtl w:val="0"/>
          <w:lang w:val="cy-GB"/>
        </w:rPr>
        <w:t xml:space="preserve">Pan fydd y cymwysterau Advanced Highers ar gael, bydd y Brifysgol yn parhau i ofyn am ddau o'r rhain, yn ogystal â phum cymhwyster Higher. </w:t>
      </w:r>
      <w:r>
        <w:rPr>
          <w:rtl w:val="0"/>
          <w:lang w:val="cy-GB"/>
        </w:rPr>
        <w:t>Anogir ysgolion, colegau a disgyblion i ystyried cyfuniad heriol a llawn o astudiaethau ar gyfer y flwyddyn olaf yn yr ysgol, oherwydd dyma'r paratoad gorau ar gyfer profiad heriol yn y brifysgol.</w:t>
      </w:r>
    </w:p>
    <w:p w:rsidR="005E71CF">
      <w:pPr>
        <w:pStyle w:val="ListParagraph"/>
        <w:numPr>
          <w:ilvl w:val="1"/>
          <w:numId w:val="1"/>
        </w:numPr>
        <w:tabs>
          <w:tab w:val="left" w:pos="481"/>
        </w:tabs>
        <w:bidi w:val="0"/>
        <w:spacing w:before="3" w:line="276" w:lineRule="auto"/>
        <w:ind w:left="480" w:right="113"/>
        <w:jc w:val="left"/>
      </w:pPr>
      <w:r>
        <w:rPr>
          <w:rtl w:val="0"/>
          <w:lang w:val="cy-GB"/>
        </w:rPr>
        <w:t xml:space="preserve">Rydym yn croesawu ceisiadau gan fyfyrwyr â Diplomâu Mynediad at Addysg Uwch ar bron pob un o'n rhaglenni. </w:t>
      </w:r>
      <w:r>
        <w:rPr>
          <w:rtl w:val="0"/>
          <w:lang w:val="cy-GB"/>
        </w:rPr>
        <w:t xml:space="preserve">Rydym yn sylweddoli bod strwythur y cymwysterau hyn wedi newid yn sylweddol eleni a, lle bynnag y bo angen, mae ein gofynion mynediad wedi cael eu diweddaru i adlewyrchu hyn. </w:t>
      </w:r>
      <w:r>
        <w:rPr>
          <w:rtl w:val="0"/>
          <w:lang w:val="cy-GB"/>
        </w:rPr>
        <w:t>Mae'n hynod bwysig bod y myfyrwyr hyn yn sylwi ar ofynion ein rhaglenni o ran cymwysterau TGAU a'u bod yn cysylltu â ni i drafod y rhain os oes ganddynt ymholiadau.</w:t>
      </w:r>
    </w:p>
    <w:sectPr>
      <w:pgSz w:w="11910" w:h="16840"/>
      <w:pgMar w:top="1340" w:right="14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F32256"/>
    <w:multiLevelType w:val="hybridMultilevel"/>
    <w:tmpl w:val="FA3C65E6"/>
    <w:lvl w:ilvl="0">
      <w:start w:val="1"/>
      <w:numFmt w:val="decimal"/>
      <w:lvlText w:val="%1."/>
      <w:lvlJc w:val="left"/>
      <w:pPr>
        <w:ind w:left="100" w:hanging="221"/>
        <w:jc w:val="left"/>
      </w:pPr>
      <w:rPr>
        <w:rFonts w:ascii="Times New Roman" w:eastAsia="Times New Roman" w:hAnsi="Times New Roman" w:cs="Times New Roman" w:hint="default"/>
        <w:w w:val="100"/>
        <w:sz w:val="22"/>
        <w:szCs w:val="22"/>
      </w:rPr>
    </w:lvl>
    <w:lvl w:ilvl="1">
      <w:start w:val="1"/>
      <w:numFmt w:val="decimal"/>
      <w:lvlText w:val="%2."/>
      <w:lvlJc w:val="left"/>
      <w:pPr>
        <w:ind w:left="820" w:hanging="360"/>
        <w:jc w:val="right"/>
      </w:pPr>
      <w:rPr>
        <w:rFonts w:ascii="Times New Roman" w:eastAsia="Times New Roman" w:hAnsi="Times New Roman" w:cs="Times New Roman" w:hint="default"/>
        <w:w w:val="100"/>
        <w:sz w:val="22"/>
        <w:szCs w:val="22"/>
      </w:rPr>
    </w:lvl>
    <w:lvl w:ilvl="2">
      <w:start w:val="0"/>
      <w:numFmt w:val="bullet"/>
      <w:lvlText w:val="•"/>
      <w:lvlJc w:val="left"/>
      <w:pPr>
        <w:ind w:left="1751" w:hanging="360"/>
      </w:pPr>
      <w:rPr>
        <w:rFonts w:hint="default"/>
      </w:rPr>
    </w:lvl>
    <w:lvl w:ilvl="3">
      <w:start w:val="0"/>
      <w:numFmt w:val="bullet"/>
      <w:lvlText w:val="•"/>
      <w:lvlJc w:val="left"/>
      <w:pPr>
        <w:ind w:left="2683" w:hanging="360"/>
      </w:pPr>
      <w:rPr>
        <w:rFonts w:hint="default"/>
      </w:rPr>
    </w:lvl>
    <w:lvl w:ilvl="4">
      <w:start w:val="0"/>
      <w:numFmt w:val="bullet"/>
      <w:lvlText w:val="•"/>
      <w:lvlJc w:val="left"/>
      <w:pPr>
        <w:ind w:left="3615" w:hanging="360"/>
      </w:pPr>
      <w:rPr>
        <w:rFonts w:hint="default"/>
      </w:rPr>
    </w:lvl>
    <w:lvl w:ilvl="5">
      <w:start w:val="0"/>
      <w:numFmt w:val="bullet"/>
      <w:lvlText w:val="•"/>
      <w:lvlJc w:val="left"/>
      <w:pPr>
        <w:ind w:left="4547" w:hanging="360"/>
      </w:pPr>
      <w:rPr>
        <w:rFonts w:hint="default"/>
      </w:rPr>
    </w:lvl>
    <w:lvl w:ilvl="6">
      <w:start w:val="0"/>
      <w:numFmt w:val="bullet"/>
      <w:lvlText w:val="•"/>
      <w:lvlJc w:val="left"/>
      <w:pPr>
        <w:ind w:left="5479" w:hanging="360"/>
      </w:pPr>
      <w:rPr>
        <w:rFonts w:hint="default"/>
      </w:rPr>
    </w:lvl>
    <w:lvl w:ilvl="7">
      <w:start w:val="0"/>
      <w:numFmt w:val="bullet"/>
      <w:lvlText w:val="•"/>
      <w:lvlJc w:val="left"/>
      <w:pPr>
        <w:ind w:left="6410" w:hanging="360"/>
      </w:pPr>
      <w:rPr>
        <w:rFonts w:hint="default"/>
      </w:rPr>
    </w:lvl>
    <w:lvl w:ilvl="8">
      <w:start w:val="0"/>
      <w:numFmt w:val="bullet"/>
      <w:lvlText w:val="•"/>
      <w:lvlJc w:val="left"/>
      <w:pPr>
        <w:ind w:left="734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
      <w:ind w:left="100" w:right="1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76F70-9251-4BA1-82C6-564B43BA57AC}">
  <ds:schemaRef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62460A1-A094-4387-9118-BBA56C519700}">
  <ds:schemaRefs>
    <ds:schemaRef ds:uri="http://schemas.microsoft.com/sharepoint/v3/contenttype/forms"/>
  </ds:schemaRefs>
</ds:datastoreItem>
</file>

<file path=customXml/itemProps3.xml><?xml version="1.0" encoding="utf-8"?>
<ds:datastoreItem xmlns:ds="http://schemas.openxmlformats.org/officeDocument/2006/customXml" ds:itemID="{01D8D6A7-A242-46D1-88AB-6A8FED4D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s.n.minney</dc:creator>
  <cp:lastModifiedBy>Black A.L.</cp:lastModifiedBy>
  <cp:revision>2</cp:revision>
  <dcterms:created xsi:type="dcterms:W3CDTF">2019-11-28T11:07:00Z</dcterms:created>
  <dcterms:modified xsi:type="dcterms:W3CDTF">2019-11-28T11:07:00Z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Microsoft® Word 2010</vt:lpwstr>
  </property>
  <property fmtid="{D5CDD505-2E9C-101B-9397-08002B2CF9AE}" pid="4" name="LastSaved">
    <vt:filetime>2019-10-23T00:00:00Z</vt:filetime>
  </property>
</Properties>
</file>