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6A" w:rsidRPr="001857EA" w:rsidRDefault="002570D3" w:rsidP="002570D3">
      <w:pPr>
        <w:pStyle w:val="Heading1"/>
        <w:spacing w:after="240"/>
        <w:rPr>
          <w:rFonts w:ascii="Arial" w:hAnsi="Arial" w:cs="Arial"/>
        </w:rPr>
      </w:pPr>
      <w:r w:rsidRPr="002570D3">
        <w:rPr>
          <w:rFonts w:ascii="Arial" w:hAnsi="Arial" w:cs="Arial"/>
        </w:rPr>
        <w:t>DYSGU ANNIBYNNOL DAN GYFARWYDDYD: AGENDA AR GYFER CYNLLUNIO GWEITHREDOL</w:t>
      </w:r>
    </w:p>
    <w:p w:rsidR="00612189" w:rsidRPr="001857EA" w:rsidRDefault="002570D3" w:rsidP="002570D3">
      <w:r w:rsidRPr="002570D3">
        <w:t>Bwriedir i’r Agenda ar gyfer Cynllunio Gweithredol hwn gael ei ddefnyddio gan dimau cyrsiau, neu adrannau cyfan, fel cymorth i ddylunio’n systematig cynllun o ddechrau’r broses i’r diwedd ar gyfer ymwreiddio dysgu annibynnol dan gyfarwyddyd yn ‘nhaith’ y myfyriwr. Gallech fabwysiadu dull grŵp cyfan a thrafod pob un o’r deg eitem yn ei dro, neu gallech rannu’n dri neu bedwar is-grŵp, y byddai pob un ohonynt yn gweithio ar glwstwr o eitemau cyn adrodd yn ôl a thrafodaeth cyfarfod llawn bellach. Dyma glystyru agweddau ar ddysgu annibynnol dan gyfarwyddyd a argymhellir ar gyfer dull cynllunio grŵp:</w:t>
      </w:r>
    </w:p>
    <w:p w:rsidR="002570D3" w:rsidRDefault="002570D3" w:rsidP="002570D3">
      <w:r>
        <w:t>Grŵp A: Agweddau 1, 2 a 3.</w:t>
      </w:r>
    </w:p>
    <w:p w:rsidR="002570D3" w:rsidRDefault="002570D3" w:rsidP="002570D3">
      <w:r>
        <w:t>Grŵp B: Agweddau 4, 5, 8 a 9</w:t>
      </w:r>
    </w:p>
    <w:p w:rsidR="00612189" w:rsidRPr="001857EA" w:rsidRDefault="002570D3" w:rsidP="002570D3">
      <w:r>
        <w:t>Grŵp C: Agweddau 6, 7 a 10.</w:t>
      </w:r>
    </w:p>
    <w:p w:rsidR="005C4DD5" w:rsidRDefault="005C4DD5" w:rsidP="005C4DD5">
      <w:r>
        <w:t>Mae’n debygol eich bod eisoes yn gwneud nifer o bethau i gynnwys dysgu annibynnol dan gyfarwyddyd yn eich cwricwlwm, a bydd angen i chi nodi ac adolygu’r rhain fel paratoad ar gyfer eich cynllunio gweithredol. Gallai fod o ddefnydd i chi gwblhau’r gweithgareddau a nodir yn y daflen ‘Awgrymiadau rhannu arfer da o ddigwyddiadau rhwydweithio’, neu ddefnyddio’r deg set o awgrymiadau i gynnal archwiliad o arfer cyfredol yn eich tîm cwrs neu eich adran.</w:t>
      </w:r>
    </w:p>
    <w:p w:rsidR="005C4DD5" w:rsidRDefault="005C4DD5" w:rsidP="005C4DD5">
      <w:r>
        <w:t>Mae’r ddogfen ‘Dysgu Annibynnol dan Gyfarwyddyd: trosolwg’ yn cynnig diffiniadau a gwybodaeth arall am ddysgu annibynnol dan gyfarwyddyd a’i fanteision.</w:t>
      </w:r>
    </w:p>
    <w:p w:rsidR="00800C0F" w:rsidRDefault="005C4DD5" w:rsidP="005C4DD5">
      <w:r>
        <w:t>Mae’r pecyn cymorth dysgu annibynnol dan gyfarwyddyd hwn hefyd yn cynnwys detholiad o adnoddau a dulliau ategol yr argymhellir i chi eu defnyddio wrth ddatblygu pob agwedd ar ddysgu annibynnol dan gyfarwyddyd. Mae’r rhain ar gael yn y ddogfen Cyfeiriadau ac Adnoddau Dysgu Annibynnol dan Gyfarwyddyd (neu wedi eu cynnwys mewn dolenni o’r ddogfen honno).</w:t>
      </w:r>
      <w:r w:rsidR="00800C0F"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  <w:tblCaption w:val="Tabl o agweddau o DIL gydag awgrymiadau ar gyfer gweithredu"/>
        <w:tblDescription w:val="Roedd deg agwedd ar DIL yn esbonio ' n fanwl gydag awgrymiadau ar weithredu"/>
      </w:tblPr>
      <w:tblGrid>
        <w:gridCol w:w="3341"/>
        <w:gridCol w:w="7994"/>
        <w:gridCol w:w="3402"/>
      </w:tblGrid>
      <w:tr w:rsidR="00F81FD4" w:rsidTr="001C0070">
        <w:trPr>
          <w:tblHeader/>
        </w:trPr>
        <w:tc>
          <w:tcPr>
            <w:tcW w:w="3341" w:type="dxa"/>
          </w:tcPr>
          <w:p w:rsidR="00F81FD4" w:rsidRDefault="006A1000" w:rsidP="00F81FD4">
            <w:pPr>
              <w:jc w:val="center"/>
              <w:rPr>
                <w:rFonts w:cs="Arial"/>
              </w:rPr>
            </w:pPr>
            <w:r w:rsidRPr="0038778F">
              <w:rPr>
                <w:rFonts w:cs="Arial"/>
                <w:b/>
                <w:sz w:val="28"/>
                <w:szCs w:val="28"/>
              </w:rPr>
              <w:lastRenderedPageBreak/>
              <w:t>A</w:t>
            </w:r>
            <w:r>
              <w:rPr>
                <w:rFonts w:cs="Arial"/>
                <w:b/>
                <w:sz w:val="28"/>
                <w:szCs w:val="28"/>
              </w:rPr>
              <w:t>gwedd ar ddysgu annibynnol dan gyfarwyddyd</w:t>
            </w:r>
          </w:p>
        </w:tc>
        <w:tc>
          <w:tcPr>
            <w:tcW w:w="7994" w:type="dxa"/>
          </w:tcPr>
          <w:p w:rsidR="00F81FD4" w:rsidRDefault="006A1000" w:rsidP="00F81FD4">
            <w:pPr>
              <w:jc w:val="center"/>
              <w:rPr>
                <w:rFonts w:cs="Arial"/>
              </w:rPr>
            </w:pPr>
            <w:r w:rsidRPr="0038778F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hesymeg</w:t>
            </w:r>
          </w:p>
        </w:tc>
        <w:tc>
          <w:tcPr>
            <w:tcW w:w="3402" w:type="dxa"/>
          </w:tcPr>
          <w:p w:rsidR="00F81FD4" w:rsidRDefault="006A1000" w:rsidP="00F81FD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Awgrymiadau ar gyfer gweithredu</w:t>
            </w:r>
          </w:p>
        </w:tc>
      </w:tr>
      <w:tr w:rsidR="00F81FD4" w:rsidTr="001C0070">
        <w:tc>
          <w:tcPr>
            <w:tcW w:w="3341" w:type="dxa"/>
          </w:tcPr>
          <w:p w:rsidR="0049552B" w:rsidRPr="0049552B" w:rsidRDefault="0049552B" w:rsidP="0049552B">
            <w:pPr>
              <w:pStyle w:val="ListParagraph"/>
            </w:pPr>
            <w:r w:rsidRPr="0049552B">
              <w:t>Cyd-ddealltwriaeth o natur a manteision dysgu annibynnol dan gyfarwyddyd</w:t>
            </w:r>
          </w:p>
          <w:p w:rsidR="00F81FD4" w:rsidRPr="00202881" w:rsidRDefault="000D7245" w:rsidP="00202881">
            <w:pPr>
              <w:spacing w:after="120"/>
              <w:ind w:left="1080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8575" cy="1298575"/>
                  <wp:effectExtent l="0" t="0" r="0" b="0"/>
                  <wp:docPr id="10" name="Picture 10" descr="Dau bennill silwét gyda thri dot ar draws y top ohonynt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49552B" w:rsidRDefault="0049552B" w:rsidP="0049552B">
            <w:r>
              <w:t xml:space="preserve">Nid oes un diffiniad a ffefrir o ddysgu annibynnol dan gyfarwyddyd, yn y llenyddiaeth nac yn y sector – nac yn y mwyafrif o sefydliadau. </w:t>
            </w:r>
          </w:p>
          <w:p w:rsidR="0049552B" w:rsidRDefault="0049552B" w:rsidP="0049552B">
            <w:r>
              <w:t xml:space="preserve">Gall diffyg eglurder achosi ansicrwydd ac effeithio’n negyddol ar allu myfyrwyr i fod yn ddysgwyr annibynnol. Mae hefyd yn ei gwneud yn fwy anodd i staff greu cyfleoedd dysgu annibynnol dan gyfarwyddyd ystyrlon i’w myfyrwyr. </w:t>
            </w:r>
          </w:p>
          <w:p w:rsidR="0049552B" w:rsidRDefault="0049552B" w:rsidP="0049552B">
            <w:r>
              <w:t xml:space="preserve">Mae’r dryswch hwn yn gysylltiedig, yn rhannol o leiaf, â gwahanol safbwyntiau ar ymreolaeth myfyrwyr, swyddogaeth staff, diben a manteision dysgu annibynnol a’r dull i’w ddefnyddio (Thomas et al, 2015c: 4). </w:t>
            </w:r>
          </w:p>
          <w:p w:rsidR="00F81FD4" w:rsidRDefault="0049552B" w:rsidP="0049552B">
            <w:pPr>
              <w:rPr>
                <w:rFonts w:cs="Arial"/>
              </w:rPr>
            </w:pPr>
            <w:r>
              <w:t>I greu cyd-destun lle gall dysgu annibynnol dan gyfarwyddyd lwyddo, mae angen gwneud ymdrechion i ddatblygu, a chyfathrebu, yr hyn y mae dysgu annibynnol dan gyfarwyddyd yn ei olygu i gwrs neu adran benodol.</w:t>
            </w:r>
          </w:p>
        </w:tc>
        <w:tc>
          <w:tcPr>
            <w:tcW w:w="3402" w:type="dxa"/>
          </w:tcPr>
          <w:p w:rsidR="0049552B" w:rsidRDefault="0049552B" w:rsidP="0049552B">
            <w:r>
              <w:t>Camau gweithredu i staff academaidd / tîm rhaglen</w:t>
            </w:r>
          </w:p>
          <w:p w:rsidR="0049552B" w:rsidRDefault="0049552B" w:rsidP="0049552B">
            <w:r>
              <w:t>Pwy a phryd?</w:t>
            </w:r>
          </w:p>
          <w:p w:rsidR="0049552B" w:rsidRDefault="0049552B" w:rsidP="0049552B">
            <w:r>
              <w:t>Camau gweithredu i fentoriaid academaidd</w:t>
            </w:r>
          </w:p>
          <w:p w:rsidR="0049552B" w:rsidRDefault="0049552B" w:rsidP="0049552B">
            <w:r>
              <w:t>Pwy a phryd?</w:t>
            </w:r>
          </w:p>
          <w:p w:rsidR="0049552B" w:rsidRDefault="0049552B" w:rsidP="0049552B">
            <w:r>
              <w:t>Camau gweithredu i eraill</w:t>
            </w:r>
          </w:p>
          <w:p w:rsidR="00F81FD4" w:rsidRDefault="0049552B" w:rsidP="0049552B">
            <w:pPr>
              <w:rPr>
                <w:rFonts w:cs="Arial"/>
              </w:rPr>
            </w:pPr>
            <w:r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A7467E" w:rsidRDefault="000346F5" w:rsidP="000346F5">
            <w:pPr>
              <w:pStyle w:val="ListParagraph"/>
            </w:pPr>
            <w:r w:rsidRPr="000346F5">
              <w:t xml:space="preserve">Cyfathrebu a phennu disgwyliadau </w:t>
            </w:r>
          </w:p>
          <w:p w:rsidR="00202881" w:rsidRDefault="00202881" w:rsidP="00A7467E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rFonts w:cs="Arial"/>
                <w:noProof/>
                <w:lang w:eastAsia="en-GB"/>
              </w:rPr>
              <w:lastRenderedPageBreak/>
              <w:drawing>
                <wp:inline distT="0" distB="0" distL="0" distR="0" wp14:anchorId="64F46F89" wp14:editId="1067D2BC">
                  <wp:extent cx="1162050" cy="1162050"/>
                  <wp:effectExtent l="0" t="0" r="0" b="0"/>
                  <wp:docPr id="3" name="Picture 3" descr="Dwy swigen siarad o wahanol liwiau un gyda thri dot gwyrdd yn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communicat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445425" w:rsidRDefault="00445425" w:rsidP="00445425">
            <w:r>
              <w:lastRenderedPageBreak/>
              <w:t>Mae angen i fyfyrwyr - a’u teuluoedd - gael eu hysbysu’n well am ddysgu annibynnol dan gyfarwyddyd - cyn ac ar ôl dechrau addysg uwch. Dylid cynnwys dealltwriaeth a disgwyliadau o ddysgu annibynnol dan gyfarwyddyd mewn deunyddiau ac arferion marchnata a recriwtio, gan gynnwys diwrnodau agored.</w:t>
            </w:r>
          </w:p>
          <w:p w:rsidR="00445425" w:rsidRDefault="00445425" w:rsidP="00445425">
            <w:r>
              <w:t xml:space="preserve">Ar ôl iddynt ddechrau addysg uwch, daw dealltwriaeth myfyrwyr o ddysgu annibynnol dan gyfarwyddyd gan staff academaidd yn bennaf, drwy’r broses sefydlu ac addysgu cynnar. Mae angen egluro’r gwahaniaeth rhwng addysg uwch a dysgu blaenorol yn yr ysgol a’r coleg; mae angen esbonio ac ymarfer cyfrifoldeb unigol am anghenion dysgu; a </w:t>
            </w:r>
            <w:r>
              <w:lastRenderedPageBreak/>
              <w:t xml:space="preserve">dylid archwilio cysylltiadau rhwng dysgu annibynnol a chyrhaeddiad, cyflogaeth a chyrff proffesiynol. </w:t>
            </w:r>
          </w:p>
          <w:p w:rsidR="00F81FD4" w:rsidRDefault="00445425" w:rsidP="00445425">
            <w:pPr>
              <w:rPr>
                <w:rFonts w:cs="Arial"/>
              </w:rPr>
            </w:pPr>
            <w:r>
              <w:t>Mae cyflogwyr a chyrff proffesiynol yn gwerthfawrogi dysgwyr annibynnol, ac felly gellir eu hannog i gydweithredu mewn gwahanol ffyrdd i ddatblygu cyfleoedd dysgu unigol difyr sydd o fudd i fyfyrwyr a rhanddeiliaid eraill, gan gynnwys cyflogwyr. (Thomas et al, 2015c: 5 – 6)</w:t>
            </w:r>
          </w:p>
        </w:tc>
        <w:tc>
          <w:tcPr>
            <w:tcW w:w="3402" w:type="dxa"/>
          </w:tcPr>
          <w:p w:rsidR="005855A0" w:rsidRDefault="005855A0" w:rsidP="005855A0">
            <w:r>
              <w:lastRenderedPageBreak/>
              <w:t>Camau gweithredu i staff academaidd / tîm rhaglen</w:t>
            </w:r>
          </w:p>
          <w:p w:rsidR="005855A0" w:rsidRDefault="005855A0" w:rsidP="005855A0">
            <w:r>
              <w:t>Pwy a phryd?</w:t>
            </w:r>
          </w:p>
          <w:p w:rsidR="005855A0" w:rsidRDefault="005855A0" w:rsidP="005855A0">
            <w:r>
              <w:t>Camau gweithredu i fentoriaid academaidd</w:t>
            </w:r>
          </w:p>
          <w:p w:rsidR="005855A0" w:rsidRDefault="005855A0" w:rsidP="005855A0">
            <w:r>
              <w:t>Pwy a phryd?</w:t>
            </w:r>
          </w:p>
          <w:p w:rsidR="005855A0" w:rsidRDefault="005855A0" w:rsidP="005855A0">
            <w:r>
              <w:t>Camau gweithredu i eraill</w:t>
            </w:r>
          </w:p>
          <w:p w:rsidR="00F81FD4" w:rsidRDefault="005855A0" w:rsidP="005855A0">
            <w:pPr>
              <w:rPr>
                <w:rFonts w:cs="Arial"/>
              </w:rPr>
            </w:pPr>
            <w:r>
              <w:lastRenderedPageBreak/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C26147" w:rsidRDefault="00C26147" w:rsidP="00C26147">
            <w:pPr>
              <w:pStyle w:val="ListParagraph"/>
            </w:pPr>
            <w:r w:rsidRPr="00C26147">
              <w:lastRenderedPageBreak/>
              <w:t xml:space="preserve">Sefydlu a Phontio </w:t>
            </w:r>
          </w:p>
          <w:p w:rsidR="00202881" w:rsidRDefault="00202881" w:rsidP="00C26147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noProof/>
                <w:lang w:eastAsia="en-GB"/>
              </w:rPr>
              <w:drawing>
                <wp:inline distT="0" distB="0" distL="0" distR="0" wp14:anchorId="0784E71D" wp14:editId="10A2FC42">
                  <wp:extent cx="1181100" cy="1181100"/>
                  <wp:effectExtent l="0" t="0" r="0" b="0"/>
                  <wp:docPr id="11" name="Picture 11" descr="Saeth squiggly ar gefndir lliwgar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54934-512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3A4D42" w:rsidRDefault="003A4D42" w:rsidP="003A4D42">
            <w:r>
              <w:t xml:space="preserve">Mae pontio i addysg uwch yn anodd i fyfyrwyr. Cyfeiriodd staff o bob maes disgyblaeth a phob math o sefydliad at yr angen i gefnogi a pharatoi myfyrwyr ar gyfer dysgu annibynnol dan gyfarwyddyd mewn addysg uwch. </w:t>
            </w:r>
          </w:p>
          <w:p w:rsidR="003A4D42" w:rsidRDefault="003A4D42" w:rsidP="003A4D42">
            <w:r>
              <w:t xml:space="preserve">Mae angen monitro dysgu annibynnol i nodi myfyrwyr sydd mewn trafferthion ac sydd angen cymorth. </w:t>
            </w:r>
          </w:p>
          <w:p w:rsidR="00F81FD4" w:rsidRDefault="003A4D42" w:rsidP="003A4D42">
            <w:pPr>
              <w:rPr>
                <w:rFonts w:cs="Arial"/>
              </w:rPr>
            </w:pPr>
            <w:r>
              <w:t>Yn olaf, cytunir yn eang bod angen proses cam wrth gam neu wedi ei ‘sgaffaldio’ i alluogi myfyrwyr i symud o fod yn ddysgwyr annibynnol i fod yn rhai ymreolaethol erbyn diwedd eu haddysg israddedig. (Thomas et al, 2015c: 4 - 5)</w:t>
            </w:r>
          </w:p>
        </w:tc>
        <w:tc>
          <w:tcPr>
            <w:tcW w:w="3402" w:type="dxa"/>
          </w:tcPr>
          <w:p w:rsidR="00907169" w:rsidRDefault="00907169" w:rsidP="00907169">
            <w:r>
              <w:t>Camau gweithredu i staff academaidd / tîm rhaglen</w:t>
            </w:r>
          </w:p>
          <w:p w:rsidR="00907169" w:rsidRDefault="00907169" w:rsidP="00907169">
            <w:r>
              <w:t>Pwy a phryd?</w:t>
            </w:r>
          </w:p>
          <w:p w:rsidR="00907169" w:rsidRDefault="00907169" w:rsidP="00907169">
            <w:r>
              <w:t>Camau gweithredu i fentoriaid academaidd</w:t>
            </w:r>
          </w:p>
          <w:p w:rsidR="00907169" w:rsidRDefault="00907169" w:rsidP="00907169">
            <w:r>
              <w:t>Pwy a phryd?</w:t>
            </w:r>
          </w:p>
          <w:p w:rsidR="00907169" w:rsidRDefault="00907169" w:rsidP="00907169">
            <w:r>
              <w:t>Camau gweithredu i eraill</w:t>
            </w:r>
          </w:p>
          <w:p w:rsidR="00F81FD4" w:rsidRDefault="00907169" w:rsidP="00907169">
            <w:pPr>
              <w:rPr>
                <w:rFonts w:cs="Arial"/>
              </w:rPr>
            </w:pPr>
            <w:r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D47E71" w:rsidRDefault="00D47E71" w:rsidP="00D47E71">
            <w:pPr>
              <w:pStyle w:val="ListParagraph"/>
            </w:pPr>
            <w:r w:rsidRPr="00D47E71">
              <w:t xml:space="preserve">Dylunio’r cwricwlwm </w:t>
            </w:r>
          </w:p>
          <w:p w:rsidR="00514B63" w:rsidRDefault="00514B63" w:rsidP="00D47E71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rFonts w:cs="Arial"/>
                <w:noProof/>
                <w:lang w:eastAsia="en-GB"/>
              </w:rPr>
              <w:lastRenderedPageBreak/>
              <w:drawing>
                <wp:inline distT="0" distB="0" distL="0" distR="0" wp14:anchorId="67C0D717" wp14:editId="6C088876">
                  <wp:extent cx="1276350" cy="1276350"/>
                  <wp:effectExtent l="0" t="0" r="0" b="0"/>
                  <wp:docPr id="4" name="Picture 4" descr="Safodd tair plygell deunydd ysgrifennu mewn lliwiau gwahanol mewn rhes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 curriculum desig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D47E71" w:rsidRDefault="00D47E71" w:rsidP="00D47E71">
            <w:r>
              <w:lastRenderedPageBreak/>
              <w:t>Mae’n ymddangos bod dysgu annibynnol yn fwy effeithiol pan ei fod wedi ei integreiddio’n llawn i’r rhaglen astudio, yn eglur ynghylch ei ddiben, ac wedi ei strwythuro i gynnig eglurder i fyfyrwyr am yr hyn sy’n ofynnol. (Thomas et al, 2015c: 4).</w:t>
            </w:r>
          </w:p>
          <w:p w:rsidR="00D47E71" w:rsidRDefault="00D47E71" w:rsidP="00D47E71">
            <w:r>
              <w:t xml:space="preserve">Gallwch gynnwys priodoleddau dysgu annibynnol yng nghanlyniadau dysgu eich rhaglen (mae dimensiwn meta-wybodaeth tacsonomi Bloom a </w:t>
            </w:r>
            <w:r>
              <w:lastRenderedPageBreak/>
              <w:t>disgrifyddion lefel SEEC yn fannau da i ddechrau), ac yna ystyried sut y mae’r rhain yn cyd-fynd â chanlyniadau dysgu modiwlau ar bob lefel astudio.</w:t>
            </w:r>
          </w:p>
          <w:p w:rsidR="00F81FD4" w:rsidRDefault="00D47E71" w:rsidP="00D47E71">
            <w:pPr>
              <w:rPr>
                <w:rFonts w:cs="Arial"/>
              </w:rPr>
            </w:pPr>
            <w:r>
              <w:t>Mae dull aliniad adeiladol o ddylunio cwricwlwm yn awgrymu y bydd eich gweithgareddau dysgu a’ch tasgau asesu yn cael eu dylunio’n eglur i baratoi myfyrwyr ar gyfer datblygu’r priodoleddau hyn, a’u profi arnynt, ymhlith agweddau eraill ar y cwricwlwm.</w:t>
            </w:r>
          </w:p>
        </w:tc>
        <w:tc>
          <w:tcPr>
            <w:tcW w:w="3402" w:type="dxa"/>
          </w:tcPr>
          <w:p w:rsidR="00D47E71" w:rsidRPr="00D47E71" w:rsidRDefault="00D47E71" w:rsidP="00D47E71">
            <w:pPr>
              <w:spacing w:after="120"/>
              <w:rPr>
                <w:rFonts w:cs="Arial"/>
              </w:rPr>
            </w:pPr>
            <w:r w:rsidRPr="00D47E71">
              <w:rPr>
                <w:rFonts w:cs="Arial"/>
              </w:rPr>
              <w:lastRenderedPageBreak/>
              <w:t>Camau gweithredu i staff academaidd / tîm rhaglen</w:t>
            </w:r>
          </w:p>
          <w:p w:rsidR="00D47E71" w:rsidRPr="00D47E71" w:rsidRDefault="00D47E71" w:rsidP="00D47E71">
            <w:pPr>
              <w:spacing w:after="120"/>
              <w:rPr>
                <w:rFonts w:cs="Arial"/>
              </w:rPr>
            </w:pPr>
            <w:r w:rsidRPr="00D47E71">
              <w:rPr>
                <w:rFonts w:cs="Arial"/>
              </w:rPr>
              <w:t>Pwy a phryd?</w:t>
            </w:r>
          </w:p>
          <w:p w:rsidR="00D47E71" w:rsidRPr="00D47E71" w:rsidRDefault="00D47E71" w:rsidP="00D47E71">
            <w:pPr>
              <w:spacing w:after="120"/>
              <w:rPr>
                <w:rFonts w:cs="Arial"/>
              </w:rPr>
            </w:pPr>
            <w:r w:rsidRPr="00D47E71">
              <w:rPr>
                <w:rFonts w:cs="Arial"/>
              </w:rPr>
              <w:t>Camau gweithredu i fentoriaid academaidd</w:t>
            </w:r>
          </w:p>
          <w:p w:rsidR="00D47E71" w:rsidRPr="00D47E71" w:rsidRDefault="00D47E71" w:rsidP="00D47E71">
            <w:pPr>
              <w:spacing w:after="120"/>
              <w:rPr>
                <w:rFonts w:cs="Arial"/>
              </w:rPr>
            </w:pPr>
            <w:r w:rsidRPr="00D47E71">
              <w:rPr>
                <w:rFonts w:cs="Arial"/>
              </w:rPr>
              <w:lastRenderedPageBreak/>
              <w:t>Pwy a phryd?</w:t>
            </w:r>
          </w:p>
          <w:p w:rsidR="00D47E71" w:rsidRPr="00D47E71" w:rsidRDefault="00D47E71" w:rsidP="00D47E71">
            <w:pPr>
              <w:spacing w:after="120"/>
              <w:rPr>
                <w:rFonts w:cs="Arial"/>
              </w:rPr>
            </w:pPr>
            <w:r w:rsidRPr="00D47E71">
              <w:rPr>
                <w:rFonts w:cs="Arial"/>
              </w:rPr>
              <w:t>Camau gweithredu i eraill</w:t>
            </w:r>
          </w:p>
          <w:p w:rsidR="00F81FD4" w:rsidRDefault="00D47E71" w:rsidP="00D47E71">
            <w:pPr>
              <w:rPr>
                <w:rFonts w:cs="Arial"/>
              </w:rPr>
            </w:pPr>
            <w:r w:rsidRPr="00D47E71">
              <w:rPr>
                <w:rFonts w:cs="Arial"/>
              </w:rPr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765927" w:rsidRDefault="00765927" w:rsidP="00765927">
            <w:pPr>
              <w:pStyle w:val="ListParagraph"/>
            </w:pPr>
            <w:r w:rsidRPr="00765927">
              <w:lastRenderedPageBreak/>
              <w:t xml:space="preserve">Dylunio dysgu </w:t>
            </w:r>
          </w:p>
          <w:p w:rsidR="00454E70" w:rsidRDefault="00454E70" w:rsidP="00765927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7D3E1A2" wp14:editId="2683EF4D">
                  <wp:extent cx="1257300" cy="1257300"/>
                  <wp:effectExtent l="0" t="0" r="0" b="0"/>
                  <wp:docPr id="5" name="Picture 5" descr="Cysgodol y pen gyda thri gwahanol lliw o feintiau amrywiol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 learning desig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890E5A" w:rsidRDefault="00890E5A" w:rsidP="00890E5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Mae dylunio dysgu, wrth gwrs, yn elfen o ddylunio cwricwlwm</w:t>
            </w:r>
            <w:r w:rsidRPr="001857EA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gweler uchod</w:t>
            </w:r>
            <w:r w:rsidRPr="001857EA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ond mae’n werth ei ystyried ar wahân, o ran y mathau o weithgarwch dysgu sy’n cynnig y cyfleoedd a’r amodau sydd eu hangen i fyfyrwyr ddatblygu fel dysgwyr annibynnol, a hefyd o ran graddau’r gefnogaeth neu’r </w:t>
            </w:r>
            <w:r w:rsidRPr="001857EA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>gaffaldiau</w:t>
            </w:r>
            <w:r w:rsidRPr="001857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sydd eu hangen ar wahanol ddysgwyr ar wahanol gamau o’u cyrsiau</w:t>
            </w:r>
            <w:r w:rsidRPr="001857EA">
              <w:rPr>
                <w:rFonts w:cs="Arial"/>
              </w:rPr>
              <w:t xml:space="preserve">. </w:t>
            </w:r>
          </w:p>
          <w:p w:rsidR="00890E5A" w:rsidRPr="001857EA" w:rsidRDefault="00890E5A" w:rsidP="00890E5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Yr agwedd olaf hon</w:t>
            </w:r>
            <w:r w:rsidRPr="001857E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wrth gwrs</w:t>
            </w:r>
            <w:r w:rsidRPr="001857E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yw’r agwedd </w:t>
            </w:r>
            <w:r w:rsidRPr="001857EA">
              <w:rPr>
                <w:rFonts w:cs="Arial"/>
              </w:rPr>
              <w:t>‘d</w:t>
            </w:r>
            <w:r>
              <w:rPr>
                <w:rFonts w:cs="Arial"/>
              </w:rPr>
              <w:t>an gyfarwyddyd</w:t>
            </w:r>
            <w:r w:rsidRPr="001857EA">
              <w:rPr>
                <w:rFonts w:cs="Arial"/>
              </w:rPr>
              <w:t xml:space="preserve">’ </w:t>
            </w:r>
            <w:r>
              <w:rPr>
                <w:rFonts w:cs="Arial"/>
              </w:rPr>
              <w:t>ar ddysgu annibynnol dan gyfarwyddyd</w:t>
            </w:r>
            <w:r w:rsidRPr="001857EA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Gall cynnig esboniad i fyfyrwyr o ba fathau o weithgarwch dysgu y bydd angen iddynt ymgymryd â nhw</w:t>
            </w:r>
            <w:r w:rsidRPr="001857EA">
              <w:rPr>
                <w:rFonts w:cs="Arial"/>
              </w:rPr>
              <w:t>, a</w:t>
            </w:r>
            <w:r>
              <w:rPr>
                <w:rFonts w:cs="Arial"/>
              </w:rPr>
              <w:t>’r rhesymeg am ddyluniad y gweithgarwch, fod yn rhan bwysig o’u cyfnodau sefydlu neu bontio</w:t>
            </w:r>
            <w:r w:rsidRPr="001857EA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Gellir defnyddio rhai o’r adnoddau yn y pecyn cymorth i helpu myfyrwyr ddeall yr hyn a ddisgwylir ganddynt a pham</w:t>
            </w:r>
            <w:r w:rsidRPr="001857EA">
              <w:rPr>
                <w:rFonts w:cs="Arial"/>
              </w:rPr>
              <w:t xml:space="preserve">. </w:t>
            </w:r>
          </w:p>
          <w:p w:rsidR="00890E5A" w:rsidRPr="001857EA" w:rsidRDefault="00890E5A" w:rsidP="00890E5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Dyma ddulliau a moddau dysgu a gysylltir yn aml â datblygiad ac arfer dysgu annibynnol dan gyfarwyddyd</w:t>
            </w:r>
            <w:r w:rsidRPr="001857EA">
              <w:rPr>
                <w:rFonts w:cs="Arial"/>
              </w:rPr>
              <w:t>:</w:t>
            </w:r>
          </w:p>
          <w:p w:rsidR="00890E5A" w:rsidRPr="001857E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Dysgu gweithredol</w:t>
            </w:r>
          </w:p>
          <w:p w:rsidR="00890E5A" w:rsidRPr="00890E5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  <w:lang w:val="de-DE"/>
              </w:rPr>
            </w:pPr>
            <w:r w:rsidRPr="00890E5A">
              <w:rPr>
                <w:rFonts w:cs="Arial"/>
                <w:lang w:val="de-DE"/>
              </w:rPr>
              <w:t>Dysgu seiliedig ar ymholiadau a seiliedig ar broblemau</w:t>
            </w:r>
          </w:p>
          <w:p w:rsidR="00890E5A" w:rsidRPr="00890E5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  <w:lang w:val="de-DE"/>
              </w:rPr>
            </w:pPr>
            <w:r w:rsidRPr="00890E5A">
              <w:rPr>
                <w:rFonts w:cs="Arial"/>
                <w:lang w:val="de-DE"/>
              </w:rPr>
              <w:t>Gwaith maes ac arbrofi (yn dibynnu ar y ddisgyblaeth)</w:t>
            </w:r>
          </w:p>
          <w:p w:rsidR="00890E5A" w:rsidRPr="001857E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Dysgu gwrthdro</w:t>
            </w:r>
          </w:p>
          <w:p w:rsidR="00890E5A" w:rsidRPr="001857E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Dysgu cymheiriaid a grŵp</w:t>
            </w:r>
          </w:p>
          <w:p w:rsidR="00F81FD4" w:rsidRPr="00890E5A" w:rsidRDefault="00890E5A" w:rsidP="00890E5A">
            <w:pPr>
              <w:pStyle w:val="ListParagraph"/>
              <w:numPr>
                <w:ilvl w:val="0"/>
                <w:numId w:val="30"/>
              </w:numPr>
              <w:spacing w:before="0" w:after="12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Dysgu wedi ei wella gan dechnoleg i ategu dysgu annibynnol dan gyfarwyddyd</w:t>
            </w:r>
          </w:p>
        </w:tc>
        <w:tc>
          <w:tcPr>
            <w:tcW w:w="3402" w:type="dxa"/>
          </w:tcPr>
          <w:p w:rsidR="00890E5A" w:rsidRDefault="00890E5A" w:rsidP="00890E5A">
            <w:r>
              <w:lastRenderedPageBreak/>
              <w:t>Camau gweithredu i staff academaidd / tîm rhaglen</w:t>
            </w:r>
          </w:p>
          <w:p w:rsidR="00890E5A" w:rsidRDefault="00890E5A" w:rsidP="00890E5A">
            <w:r>
              <w:t>Pwy a phryd?</w:t>
            </w:r>
          </w:p>
          <w:p w:rsidR="00890E5A" w:rsidRDefault="00890E5A" w:rsidP="00890E5A">
            <w:r>
              <w:t>Camau gweithredu i fentoriaid academaidd</w:t>
            </w:r>
          </w:p>
          <w:p w:rsidR="00890E5A" w:rsidRDefault="00890E5A" w:rsidP="00890E5A">
            <w:r>
              <w:t>Pwy a phryd?</w:t>
            </w:r>
          </w:p>
          <w:p w:rsidR="00890E5A" w:rsidRDefault="00890E5A" w:rsidP="00890E5A">
            <w:r>
              <w:t>Camau gweithredu i eraill</w:t>
            </w:r>
          </w:p>
          <w:p w:rsidR="00F81FD4" w:rsidRDefault="00890E5A" w:rsidP="00890E5A">
            <w:pPr>
              <w:rPr>
                <w:rFonts w:cs="Arial"/>
              </w:rPr>
            </w:pPr>
            <w:r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F442E5" w:rsidRDefault="00F442E5" w:rsidP="00F442E5">
            <w:pPr>
              <w:pStyle w:val="ListParagraph"/>
            </w:pPr>
            <w:r w:rsidRPr="00F442E5">
              <w:t xml:space="preserve">Amgylchedd a chymorth dysgu </w:t>
            </w:r>
          </w:p>
          <w:p w:rsidR="00454E70" w:rsidRDefault="00454E70" w:rsidP="00F442E5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482E8CB" wp14:editId="0D29B0E1">
                  <wp:extent cx="1266825" cy="1266825"/>
                  <wp:effectExtent l="0" t="0" r="9525" b="0"/>
                  <wp:docPr id="6" name="Picture 6" descr="Dwy law liw gwahanol yn gwrthdaro â ' i gilydd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 learning envrionment and support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F442E5" w:rsidRDefault="00F442E5" w:rsidP="00F442E5">
            <w:r>
              <w:t>Yn yr un ffordd ag y gellir ‘sgaffaldio’ dyluniad gweithgarwch dysgu pwnc i gynorthwyo datblygiad myfyrwyr, gellir cyfeirio at amgylchedd ac adnoddau dysgu a’u gwneud ar gael mewn ffordd dan arweiniad a hygyrch, er mwyn helpu myfyrwyr sy’n newydd i’r ‘maes lywio eu ffordd drwyddo, a dod o hyd i’r wybodaeth sydd ei hangen arnynt i wneud gwaith yn annibynnol.</w:t>
            </w:r>
          </w:p>
          <w:p w:rsidR="00F81FD4" w:rsidRDefault="00F442E5" w:rsidP="00F442E5">
            <w:pPr>
              <w:rPr>
                <w:rFonts w:cs="Arial"/>
              </w:rPr>
            </w:pPr>
            <w:r>
              <w:t>Meddyliwch yn nhermau ‘mapiau’, ‘cyfeiriadau’ ac ‘arweinwyr’ mwy profiadol. Mae ystyriaethau o’r amgylchedd dysgu a chymorth ar gyfer dysgu annibynnol yn cynnwys: adnoddau hygyrch, cyfleusterau TG a llyfrgell hygyrch a digonol, rhith-amgylchedd dysgu ystyriol o ddefnyddwyr, amserlen sy’n gweithio i bob myfyriwr, mannau astudio (rhai y gellir eu sicrhau ymlaen llaw), cynlluniau cymorth cymheiriaid, a mentora academaidd.</w:t>
            </w:r>
          </w:p>
        </w:tc>
        <w:tc>
          <w:tcPr>
            <w:tcW w:w="3402" w:type="dxa"/>
          </w:tcPr>
          <w:p w:rsidR="00CC628F" w:rsidRDefault="00CC628F" w:rsidP="00CC628F">
            <w:r>
              <w:t>Camau gweithredu i staff academaidd / tîm rhaglen</w:t>
            </w:r>
          </w:p>
          <w:p w:rsidR="00CC628F" w:rsidRDefault="00CC628F" w:rsidP="00CC628F">
            <w:r>
              <w:t>Pwy a phryd?</w:t>
            </w:r>
          </w:p>
          <w:p w:rsidR="00CC628F" w:rsidRDefault="00CC628F" w:rsidP="00CC628F">
            <w:r>
              <w:t>Camau gweithredu i fentoriaid academaidd</w:t>
            </w:r>
          </w:p>
          <w:p w:rsidR="00CC628F" w:rsidRDefault="00CC628F" w:rsidP="00CC628F">
            <w:r>
              <w:t>Pwy a phryd?</w:t>
            </w:r>
          </w:p>
          <w:p w:rsidR="00CC628F" w:rsidRDefault="00CC628F" w:rsidP="00CC628F">
            <w:r>
              <w:t>Camau gweithredu i eraill</w:t>
            </w:r>
          </w:p>
          <w:p w:rsidR="00F81FD4" w:rsidRDefault="00CC628F" w:rsidP="00CC628F">
            <w:pPr>
              <w:rPr>
                <w:rFonts w:cs="Arial"/>
              </w:rPr>
            </w:pPr>
            <w:r>
              <w:t>Pwy a phryd?</w:t>
            </w:r>
          </w:p>
        </w:tc>
      </w:tr>
      <w:tr w:rsidR="00F81FD4" w:rsidTr="001C0070">
        <w:tc>
          <w:tcPr>
            <w:tcW w:w="3341" w:type="dxa"/>
          </w:tcPr>
          <w:p w:rsidR="005F6F17" w:rsidRDefault="005F6F17" w:rsidP="005F6F17">
            <w:pPr>
              <w:pStyle w:val="ListParagraph"/>
            </w:pPr>
            <w:r w:rsidRPr="005F6F17">
              <w:t>Llythreneddau dysgu</w:t>
            </w:r>
          </w:p>
          <w:p w:rsidR="00A356E3" w:rsidRDefault="005F6F17" w:rsidP="005F6F17">
            <w:pPr>
              <w:pStyle w:val="ListParagraph"/>
              <w:numPr>
                <w:ilvl w:val="0"/>
                <w:numId w:val="0"/>
              </w:numPr>
              <w:ind w:left="641"/>
            </w:pPr>
            <w:r w:rsidRPr="005F6F17">
              <w:lastRenderedPageBreak/>
              <w:t xml:space="preserve"> </w:t>
            </w:r>
            <w:r w:rsidR="00A356E3">
              <w:rPr>
                <w:rFonts w:cs="Arial"/>
                <w:noProof/>
                <w:lang w:eastAsia="en-GB"/>
              </w:rPr>
              <w:drawing>
                <wp:inline distT="0" distB="0" distL="0" distR="0" wp14:anchorId="4A35A5DC" wp14:editId="0728C40A">
                  <wp:extent cx="1085850" cy="1085850"/>
                  <wp:effectExtent l="0" t="0" r="0" b="0"/>
                  <wp:docPr id="12" name="Picture 12" descr="Bwlb golau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958188-51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ED79DF" w:rsidRDefault="00ED79DF" w:rsidP="00ED79DF">
            <w:r>
              <w:lastRenderedPageBreak/>
              <w:t xml:space="preserve">Daw llythreneddau ar sawl ffurf: academaidd, gwybodaeth, digidol, a sgiliau astudio er enghraifft. I ategu datblygiad dysgu annibynnol wedi ei ymwreiddio, gallai tiwtorialau a digwyddiadau dysgu cyd-gwricwlaidd eraill gynnwys pwyslais ar lythreneddau dysgu ac academaidd penodol a fydd yn galluogi myfyrwyr i weithredu’n ymreolaethol. </w:t>
            </w:r>
          </w:p>
          <w:p w:rsidR="00F81FD4" w:rsidRDefault="00ED79DF" w:rsidP="00ED79DF">
            <w:pPr>
              <w:rPr>
                <w:rFonts w:cs="Arial"/>
              </w:rPr>
            </w:pPr>
            <w:r>
              <w:t xml:space="preserve">Mae llyfrgelloedd wedi gwneud llawer o waith i hwyluso datblygiad llythreneddau gwybodaeth, er enghraifft. Yn aml, mae’r adnoddau hunan-fynediad a’r gweithdai neu diwtorialau sy’n targedu’r llythreneddau hyn yn ddewisol, ac mae’n aml yn wir bod y myfyrwyr cryfaf yn manteisio ar y cyfleoedd, tra nad yw’r myfyrwyr sydd angen cymorth a chyfeiriad </w:t>
            </w:r>
            <w:r>
              <w:lastRenderedPageBreak/>
              <w:t>fwyaf. Am y rheswm hwn, byddai’n ddoeth cynnwys amser mewn tiwtorialau a dosbarthiadau a drefnir i alluogi myfyrwyr i ddatblygu ac ymarfer y sgiliau academaidd craidd sydd eu hangen arnynt.</w:t>
            </w:r>
          </w:p>
        </w:tc>
        <w:tc>
          <w:tcPr>
            <w:tcW w:w="3402" w:type="dxa"/>
          </w:tcPr>
          <w:p w:rsidR="005A7C8B" w:rsidRDefault="005A7C8B" w:rsidP="005A7C8B">
            <w:r>
              <w:lastRenderedPageBreak/>
              <w:t>Camau gweithredu i staff academaidd / tîm rhaglen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fentoriaid academaidd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lastRenderedPageBreak/>
              <w:t>Camau gweithredu i eraill</w:t>
            </w:r>
          </w:p>
          <w:p w:rsidR="00F81FD4" w:rsidRDefault="005A7C8B" w:rsidP="005A7C8B">
            <w:pPr>
              <w:rPr>
                <w:rFonts w:cs="Arial"/>
              </w:rPr>
            </w:pPr>
            <w:r>
              <w:t>Pwy a phryd?</w:t>
            </w:r>
          </w:p>
        </w:tc>
      </w:tr>
      <w:tr w:rsidR="00A356E3" w:rsidTr="001C0070">
        <w:tc>
          <w:tcPr>
            <w:tcW w:w="3341" w:type="dxa"/>
          </w:tcPr>
          <w:p w:rsidR="00516CF0" w:rsidRPr="00516CF0" w:rsidRDefault="00516CF0" w:rsidP="00516CF0">
            <w:pPr>
              <w:pStyle w:val="ListParagraph"/>
            </w:pPr>
            <w:r w:rsidRPr="00516CF0">
              <w:rPr>
                <w:rFonts w:cs="Arial"/>
              </w:rPr>
              <w:lastRenderedPageBreak/>
              <w:t xml:space="preserve">Asesu ac adborth </w:t>
            </w:r>
          </w:p>
          <w:p w:rsidR="00A356E3" w:rsidRPr="001857EA" w:rsidRDefault="00A356E3" w:rsidP="00516CF0">
            <w:pPr>
              <w:pStyle w:val="ListParagraph"/>
              <w:numPr>
                <w:ilvl w:val="0"/>
                <w:numId w:val="0"/>
              </w:numPr>
              <w:ind w:left="641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7DC7EF0" wp14:editId="70FE98D2">
                  <wp:extent cx="1137920" cy="1137920"/>
                  <wp:effectExtent l="0" t="0" r="5080" b="5080"/>
                  <wp:docPr id="14" name="Picture 14" descr="Cylch yn cynnwys dau ddarn o bapur wedi ' u plygu ar y gornel dde isaf.  Mae un llun yn cynnwys y llythyren gyfalaf F a ' r llall a +.  Mae saeth yn cysylltu ' r ddau ddarn o bapur.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. assessment and feedbac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516CF0" w:rsidRDefault="00516CF0" w:rsidP="00516CF0">
            <w:r>
              <w:t>Mae asesu yn hanfodol i ddysgu annibynnol dan gyfarwyddyd effeithiol. Gall asesu ennyn brwdfrydedd myfyrwyr i gymryd rhan, cynnig dull defnyddiol ar gyfer rhyngweithio rhwng myfyrwyr a staff academaidd, a chynnig adborth i fyfyrwyr i wella eu prosesau a’u canlyniadau astudio yn y dyfodol. Mae’n ymddangos bod cyfuniad o asesu ffurfiannol a chyfunol ym maes dysgu annibynnol dan gyfarwyddyd yn arbennig o werthfawr. (Thomas et al 2015c: 5)</w:t>
            </w:r>
          </w:p>
          <w:p w:rsidR="00A356E3" w:rsidRPr="001857EA" w:rsidRDefault="00516CF0" w:rsidP="00516CF0">
            <w:r>
              <w:t>Gall mabwysiadu dull asesu sy’n rhoi pwyslais ar y rhaglen eich helpu i ddylunio’n gydlynol ar draws rhaglen astudio, gan gynyddu tryloywder i fyfyrwyr, a hefyd sicrhau cynnydd cam wrth gam gofalus o ran cymhlethdod y cynnwys, tasgau a maint yr ymreolaeth a ddisgwylir gan fyfyrwyr. Mae strategaeth adborth amserol yn elfen allweddol o hyn, ac felly hefyd paratoad ar gyfer asesu wedi ei integreiddio – i greu dull cyffredinol sy’n ‘asesu ar gyfer llwyddiant’.</w:t>
            </w:r>
          </w:p>
        </w:tc>
        <w:tc>
          <w:tcPr>
            <w:tcW w:w="3402" w:type="dxa"/>
          </w:tcPr>
          <w:p w:rsidR="005A7C8B" w:rsidRDefault="005A7C8B" w:rsidP="005A7C8B">
            <w:r>
              <w:t>Camau gweithredu i staff academaidd / tîm rhaglen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fentoriaid academaidd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eraill</w:t>
            </w:r>
          </w:p>
          <w:p w:rsidR="00A356E3" w:rsidRPr="001857EA" w:rsidRDefault="005A7C8B" w:rsidP="005A7C8B">
            <w:r>
              <w:t>Pwy a phryd?</w:t>
            </w:r>
          </w:p>
        </w:tc>
      </w:tr>
      <w:tr w:rsidR="00C1192E" w:rsidTr="001C0070">
        <w:tc>
          <w:tcPr>
            <w:tcW w:w="3341" w:type="dxa"/>
          </w:tcPr>
          <w:p w:rsidR="008760EA" w:rsidRDefault="008760EA" w:rsidP="008760EA">
            <w:pPr>
              <w:pStyle w:val="ListParagraph"/>
              <w:rPr>
                <w:rFonts w:cs="Arial"/>
              </w:rPr>
            </w:pPr>
            <w:r w:rsidRPr="008760EA">
              <w:rPr>
                <w:rFonts w:cs="Arial"/>
              </w:rPr>
              <w:t>Cwricwlwm cynhwysol</w:t>
            </w:r>
          </w:p>
          <w:p w:rsidR="00C1192E" w:rsidRPr="008760EA" w:rsidRDefault="00C1192E" w:rsidP="008760EA">
            <w:pPr>
              <w:ind w:left="284"/>
              <w:rPr>
                <w:rFonts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57335C4" wp14:editId="1FE27D57">
                  <wp:extent cx="1409700" cy="1447800"/>
                  <wp:effectExtent l="0" t="0" r="0" b="0"/>
                  <wp:docPr id="8" name="Picture 8" descr="Tri silwetau o bobl mewn gwahanol liwiau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. inclusive curriculu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AB1114" w:rsidRDefault="00AB1114" w:rsidP="00AB1114">
            <w:r>
              <w:lastRenderedPageBreak/>
              <w:t xml:space="preserve">Gall dysgu annibynnol dan gyfarwyddyd gynnig mwy o hyblygrwydd ac felly bod yn fwy cynhwysol na rhai mathau eraill o ddysgu ac addysgu. </w:t>
            </w:r>
          </w:p>
          <w:p w:rsidR="00AB1114" w:rsidRDefault="00AB1114" w:rsidP="00AB1114">
            <w:r>
              <w:t xml:space="preserve">Mae’r defnydd helaeth o dechnoleg a dysgu ar-lein yn caniatáu i ddeunydd gael ei ddarparu mewn gwahanol fformatau, i fodloni </w:t>
            </w:r>
            <w:r>
              <w:lastRenderedPageBreak/>
              <w:t>gwahanol ddymuniadau a hawliadau dysgu, ac i gynnig hyblygrwydd ynghylch pryd a ble mae myfyrwyr yn cymryd rhan.</w:t>
            </w:r>
          </w:p>
          <w:p w:rsidR="00AB1114" w:rsidRDefault="00AB1114" w:rsidP="00AB1114">
            <w:r>
              <w:t xml:space="preserve">Gall dysgu grŵp greu heriau i alluogi’r holl fyfyrwyr gymryd rhan. </w:t>
            </w:r>
          </w:p>
          <w:p w:rsidR="00C1192E" w:rsidRPr="001857EA" w:rsidRDefault="00AB1114" w:rsidP="00AB1114">
            <w:r>
              <w:t>Un ateb yw cynnwys hyn yn nyluniad modiwlau, o ran cyfyngu faint o amser y mae angen i fyfyrwyr fod gyda’i gilydd a’u hannog i ddod o hyd i atebion i ddiwallu anghenion a chyd-fynd ag amgylchiadau aelodau’r grŵp. (Thomas et al 2015c: 5)</w:t>
            </w:r>
          </w:p>
        </w:tc>
        <w:tc>
          <w:tcPr>
            <w:tcW w:w="3402" w:type="dxa"/>
          </w:tcPr>
          <w:p w:rsidR="005A7C8B" w:rsidRDefault="005A7C8B" w:rsidP="005A7C8B">
            <w:r>
              <w:lastRenderedPageBreak/>
              <w:t>Camau gweithredu i staff academaidd / tîm rhaglen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lastRenderedPageBreak/>
              <w:t>Camau gweithredu i fentoriaid academaidd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eraill</w:t>
            </w:r>
          </w:p>
          <w:p w:rsidR="00C1192E" w:rsidRPr="001857EA" w:rsidRDefault="005A7C8B" w:rsidP="005A7C8B">
            <w:r>
              <w:t>Pwy a phryd?</w:t>
            </w:r>
          </w:p>
        </w:tc>
      </w:tr>
      <w:tr w:rsidR="00C1192E" w:rsidTr="001C0070">
        <w:tc>
          <w:tcPr>
            <w:tcW w:w="3341" w:type="dxa"/>
          </w:tcPr>
          <w:p w:rsidR="009F7DD0" w:rsidRDefault="009F7DD0" w:rsidP="009F7DD0">
            <w:pPr>
              <w:pStyle w:val="ListParagraph"/>
              <w:rPr>
                <w:rFonts w:cs="Arial"/>
              </w:rPr>
            </w:pPr>
            <w:r w:rsidRPr="009F7DD0">
              <w:rPr>
                <w:rFonts w:cs="Arial"/>
              </w:rPr>
              <w:lastRenderedPageBreak/>
              <w:t xml:space="preserve">Cynnwys a chynorthwyo staff </w:t>
            </w:r>
          </w:p>
          <w:p w:rsidR="00C1192E" w:rsidRPr="001857EA" w:rsidRDefault="00C1192E" w:rsidP="009F7DD0">
            <w:pPr>
              <w:pStyle w:val="ListParagraph"/>
              <w:numPr>
                <w:ilvl w:val="0"/>
                <w:numId w:val="0"/>
              </w:numPr>
              <w:ind w:left="641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375739C9" wp14:editId="2850AED6">
                  <wp:extent cx="1419225" cy="1419225"/>
                  <wp:effectExtent l="0" t="0" r="0" b="0"/>
                  <wp:docPr id="9" name="Picture 9" descr="Pedwar o bobl o wahanol oedrannau yn siarad â ' i gilydd yn sefyll mewn cylch yn wynebu ' r tu allan" title="Llun addurnia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. staff engagment and suppor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9D09B8" w:rsidRDefault="009D09B8" w:rsidP="009D09B8">
            <w:r>
              <w:t>Mae datblygu a chefnogi modiwlau dysgu annibynnol dan gyfarwyddyd yn cymryd llawer o amser ac nid yw’n cael ei gydnabod yn aml. (Thomas et al 2015c: 4)</w:t>
            </w:r>
          </w:p>
          <w:p w:rsidR="009D09B8" w:rsidRDefault="009D09B8" w:rsidP="009D09B8">
            <w:r>
              <w:t>Mae angen cynnwys a chynorthwyo staff i ddarparu cyfleoedd dysgu annibynnol dan gyfarwyddyd effeithiol. Mae hyn yn gofyn am amgylchedd sy’n annog ac yn caniatáu staff i ddatblygu cyfleoedd dysgu annibynnol newydd.</w:t>
            </w:r>
          </w:p>
          <w:p w:rsidR="009D09B8" w:rsidRDefault="009D09B8" w:rsidP="009D09B8">
            <w:r>
              <w:t xml:space="preserve">Mae angen i dimau rhaglen gydweithio i ddatblygu cysondeb a dulliau dysgu annibynnol dan gyfarwyddyd ar y cyd. </w:t>
            </w:r>
          </w:p>
          <w:p w:rsidR="00C1192E" w:rsidRPr="001857EA" w:rsidRDefault="009D09B8" w:rsidP="009D09B8">
            <w:r>
              <w:t>Mae angen atgyfnerthu cynnwys mwy o staff gyda datbl</w:t>
            </w:r>
            <w:bookmarkStart w:id="0" w:name="_GoBack"/>
            <w:bookmarkEnd w:id="0"/>
            <w:r>
              <w:t>ygiad staff ar gyfer staff newydd a phresennol, gan gynnwys rhannu arferion. Mae staff angen cymorth ymarferol hefyd, yn enwedig o ran y defnydd o dechnoleg newydd. (Thomas et al 2015c: 5)</w:t>
            </w:r>
          </w:p>
        </w:tc>
        <w:tc>
          <w:tcPr>
            <w:tcW w:w="3402" w:type="dxa"/>
          </w:tcPr>
          <w:p w:rsidR="005A7C8B" w:rsidRDefault="005A7C8B" w:rsidP="005A7C8B">
            <w:r>
              <w:t>Camau gweithredu i staff academaidd / tîm rhaglen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fentoriaid academaidd</w:t>
            </w:r>
          </w:p>
          <w:p w:rsidR="005A7C8B" w:rsidRDefault="005A7C8B" w:rsidP="005A7C8B">
            <w:r>
              <w:t>Pwy a phryd?</w:t>
            </w:r>
          </w:p>
          <w:p w:rsidR="005A7C8B" w:rsidRDefault="005A7C8B" w:rsidP="005A7C8B">
            <w:r>
              <w:t>Camau gweithredu i eraill</w:t>
            </w:r>
          </w:p>
          <w:p w:rsidR="00C1192E" w:rsidRPr="001857EA" w:rsidRDefault="005A7C8B" w:rsidP="005A7C8B">
            <w:r>
              <w:t>Pwy a phryd?</w:t>
            </w:r>
          </w:p>
        </w:tc>
      </w:tr>
    </w:tbl>
    <w:p w:rsidR="00684F02" w:rsidRDefault="00A33B17" w:rsidP="00A33B17">
      <w:pPr>
        <w:spacing w:before="2400"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Pecyn </w:t>
      </w:r>
      <w:r w:rsidRPr="00A33B17">
        <w:rPr>
          <w:rFonts w:cs="Arial"/>
          <w:b/>
        </w:rPr>
        <w:t>Cymorth Dysgu Annibynnol Dan Gyfarwyddyd</w:t>
      </w:r>
    </w:p>
    <w:p w:rsidR="001D1C4A" w:rsidRDefault="00A76B13" w:rsidP="007B38E9">
      <w:pPr>
        <w:rPr>
          <w:rFonts w:cs="Arial"/>
          <w:sz w:val="20"/>
          <w:szCs w:val="20"/>
        </w:rPr>
      </w:pPr>
      <w:r w:rsidRPr="00684F02">
        <w:rPr>
          <w:rFonts w:cs="Arial"/>
          <w:b/>
          <w:noProof/>
          <w:lang w:eastAsia="en-GB"/>
        </w:rPr>
        <w:drawing>
          <wp:inline distT="0" distB="0" distL="0" distR="0">
            <wp:extent cx="1713600" cy="601200"/>
            <wp:effectExtent l="0" t="0" r="1270" b="8890"/>
            <wp:docPr id="1" name="Picture 1" descr="Creative Commons licence logo" title="Logo for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eu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CB" w:rsidRPr="00684F02" w:rsidRDefault="006301DF" w:rsidP="006301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Prifysgol Abertawe, 2018, </w:t>
      </w:r>
      <w:r w:rsidRPr="00481B97">
        <w:rPr>
          <w:rFonts w:cs="Arial"/>
          <w:sz w:val="20"/>
          <w:szCs w:val="20"/>
        </w:rPr>
        <w:t xml:space="preserve">gyda chyllid grant gan </w:t>
      </w:r>
      <w:hyperlink r:id="rId18" w:history="1">
        <w:r w:rsidR="00684F02" w:rsidRPr="007B38E9">
          <w:rPr>
            <w:rStyle w:val="Hyperlink"/>
            <w:rFonts w:cs="Arial"/>
            <w:sz w:val="20"/>
            <w:szCs w:val="20"/>
          </w:rPr>
          <w:t>Advance HE</w:t>
        </w:r>
      </w:hyperlink>
      <w:r w:rsidR="002626EB">
        <w:rPr>
          <w:rFonts w:cs="Arial"/>
          <w:sz w:val="20"/>
          <w:szCs w:val="20"/>
        </w:rPr>
        <w:t xml:space="preserve"> </w:t>
      </w:r>
      <w:r w:rsidRPr="00481B97">
        <w:rPr>
          <w:rFonts w:cs="Arial"/>
          <w:sz w:val="20"/>
          <w:szCs w:val="20"/>
        </w:rPr>
        <w:t xml:space="preserve">a datblygu gan </w:t>
      </w:r>
      <w:r>
        <w:rPr>
          <w:rFonts w:cs="Arial"/>
          <w:sz w:val="20"/>
          <w:szCs w:val="20"/>
        </w:rPr>
        <w:t xml:space="preserve">Corony Edwards Consulting </w:t>
      </w:r>
      <w:hyperlink r:id="rId19" w:history="1">
        <w:r w:rsidR="00684F02" w:rsidRPr="00684F02">
          <w:rPr>
            <w:rStyle w:val="Hyperlink"/>
            <w:rFonts w:cs="Arial"/>
            <w:sz w:val="20"/>
            <w:szCs w:val="20"/>
          </w:rPr>
          <w:t>coronyedwards.co.uk</w:t>
        </w:r>
      </w:hyperlink>
      <w:r w:rsidR="00684F02" w:rsidRPr="00684F02">
        <w:rPr>
          <w:rFonts w:cs="Arial"/>
          <w:sz w:val="20"/>
          <w:szCs w:val="20"/>
        </w:rPr>
        <w:t xml:space="preserve">.  </w:t>
      </w:r>
      <w:r>
        <w:rPr>
          <w:rFonts w:cs="Arial"/>
          <w:sz w:val="20"/>
          <w:szCs w:val="20"/>
        </w:rPr>
        <w:t>Ar gael o dan: Creative Commons Attribution-Non-commercial-ShareAlike 4.0 International Licence</w:t>
      </w:r>
      <w:r w:rsidR="00684F02" w:rsidRPr="00684F02">
        <w:rPr>
          <w:rFonts w:cs="Arial"/>
          <w:sz w:val="20"/>
          <w:szCs w:val="20"/>
        </w:rPr>
        <w:t xml:space="preserve"> </w:t>
      </w:r>
      <w:hyperlink r:id="rId20" w:history="1">
        <w:r w:rsidR="002626EB" w:rsidRPr="00456F9C">
          <w:rPr>
            <w:rStyle w:val="Hyperlink"/>
            <w:rFonts w:cs="Arial"/>
            <w:sz w:val="20"/>
            <w:szCs w:val="20"/>
          </w:rPr>
          <w:t>creativecommons.org/licenses/by-nc-sa/4.0</w:t>
        </w:r>
      </w:hyperlink>
      <w:r w:rsidR="002626EB">
        <w:rPr>
          <w:rFonts w:cs="Arial"/>
          <w:sz w:val="20"/>
          <w:szCs w:val="20"/>
        </w:rPr>
        <w:t xml:space="preserve"> </w:t>
      </w:r>
      <w:r w:rsidR="00684F02" w:rsidRPr="00684F02">
        <w:rPr>
          <w:rFonts w:cs="Arial"/>
          <w:sz w:val="20"/>
          <w:szCs w:val="20"/>
        </w:rPr>
        <w:t>/</w:t>
      </w:r>
    </w:p>
    <w:sectPr w:rsidR="006622CB" w:rsidRPr="00684F02" w:rsidSect="00497EDA">
      <w:footerReference w:type="default" r:id="rId21"/>
      <w:pgSz w:w="16838" w:h="11906" w:orient="landscape"/>
      <w:pgMar w:top="851" w:right="1134" w:bottom="851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E" w:rsidRDefault="00B3401E" w:rsidP="00D10777">
      <w:pPr>
        <w:spacing w:after="0" w:line="240" w:lineRule="auto"/>
      </w:pPr>
      <w:r>
        <w:separator/>
      </w:r>
    </w:p>
  </w:endnote>
  <w:endnote w:type="continuationSeparator" w:id="0">
    <w:p w:rsidR="00B3401E" w:rsidRDefault="00B3401E" w:rsidP="00D1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189" w:rsidRDefault="0061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2189" w:rsidRDefault="00612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E" w:rsidRDefault="00B3401E" w:rsidP="00D10777">
      <w:pPr>
        <w:spacing w:after="0" w:line="240" w:lineRule="auto"/>
      </w:pPr>
      <w:r>
        <w:separator/>
      </w:r>
    </w:p>
  </w:footnote>
  <w:footnote w:type="continuationSeparator" w:id="0">
    <w:p w:rsidR="00B3401E" w:rsidRDefault="00B3401E" w:rsidP="00D1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91C"/>
    <w:multiLevelType w:val="hybridMultilevel"/>
    <w:tmpl w:val="89060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841"/>
    <w:multiLevelType w:val="hybridMultilevel"/>
    <w:tmpl w:val="3D9C0FF4"/>
    <w:lvl w:ilvl="0" w:tplc="46DC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63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8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23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3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E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B4ADB"/>
    <w:multiLevelType w:val="hybridMultilevel"/>
    <w:tmpl w:val="D466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957"/>
    <w:multiLevelType w:val="hybridMultilevel"/>
    <w:tmpl w:val="321A8C34"/>
    <w:lvl w:ilvl="0" w:tplc="2F62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0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4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D6B3B"/>
    <w:multiLevelType w:val="hybridMultilevel"/>
    <w:tmpl w:val="0032E802"/>
    <w:lvl w:ilvl="0" w:tplc="5C5A8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F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47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44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ED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2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82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63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363F88"/>
    <w:multiLevelType w:val="hybridMultilevel"/>
    <w:tmpl w:val="308E0938"/>
    <w:lvl w:ilvl="0" w:tplc="F88CC0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135C5"/>
    <w:multiLevelType w:val="hybridMultilevel"/>
    <w:tmpl w:val="EABEFBBC"/>
    <w:lvl w:ilvl="0" w:tplc="F9AA745A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5E35A83"/>
    <w:multiLevelType w:val="hybridMultilevel"/>
    <w:tmpl w:val="15EC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02718"/>
    <w:multiLevelType w:val="hybridMultilevel"/>
    <w:tmpl w:val="21423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DDC"/>
    <w:multiLevelType w:val="hybridMultilevel"/>
    <w:tmpl w:val="FA36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70C1"/>
    <w:multiLevelType w:val="hybridMultilevel"/>
    <w:tmpl w:val="D91C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C00"/>
    <w:multiLevelType w:val="hybridMultilevel"/>
    <w:tmpl w:val="F626D168"/>
    <w:lvl w:ilvl="0" w:tplc="214850F4">
      <w:start w:val="1"/>
      <w:numFmt w:val="bullet"/>
      <w:pStyle w:val="ListBullet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95C40"/>
    <w:multiLevelType w:val="hybridMultilevel"/>
    <w:tmpl w:val="7FCC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922"/>
    <w:multiLevelType w:val="hybridMultilevel"/>
    <w:tmpl w:val="42540476"/>
    <w:lvl w:ilvl="0" w:tplc="7C4A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2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D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A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A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2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8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0A7CD4"/>
    <w:multiLevelType w:val="hybridMultilevel"/>
    <w:tmpl w:val="492A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7371B"/>
    <w:multiLevelType w:val="hybridMultilevel"/>
    <w:tmpl w:val="78F2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45A"/>
    <w:multiLevelType w:val="hybridMultilevel"/>
    <w:tmpl w:val="75FE1A8C"/>
    <w:lvl w:ilvl="0" w:tplc="E2B6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43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6E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CC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26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8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42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E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E84323"/>
    <w:multiLevelType w:val="hybridMultilevel"/>
    <w:tmpl w:val="96106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3FD8"/>
    <w:multiLevelType w:val="hybridMultilevel"/>
    <w:tmpl w:val="0F80E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E429B"/>
    <w:multiLevelType w:val="hybridMultilevel"/>
    <w:tmpl w:val="0576E172"/>
    <w:lvl w:ilvl="0" w:tplc="F9AA74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742C1"/>
    <w:multiLevelType w:val="hybridMultilevel"/>
    <w:tmpl w:val="5FFCB67C"/>
    <w:lvl w:ilvl="0" w:tplc="F88CC0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B1492"/>
    <w:multiLevelType w:val="hybridMultilevel"/>
    <w:tmpl w:val="307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F03E1"/>
    <w:multiLevelType w:val="hybridMultilevel"/>
    <w:tmpl w:val="BD2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7ED7"/>
    <w:multiLevelType w:val="hybridMultilevel"/>
    <w:tmpl w:val="CDE09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0D38"/>
    <w:multiLevelType w:val="hybridMultilevel"/>
    <w:tmpl w:val="7EF02CFC"/>
    <w:lvl w:ilvl="0" w:tplc="F88CC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F3D7F"/>
    <w:multiLevelType w:val="hybridMultilevel"/>
    <w:tmpl w:val="FCB2C6E4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D6B59F5"/>
    <w:multiLevelType w:val="hybridMultilevel"/>
    <w:tmpl w:val="C316A3D6"/>
    <w:lvl w:ilvl="0" w:tplc="F88CC0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0BB5F7D"/>
    <w:multiLevelType w:val="hybridMultilevel"/>
    <w:tmpl w:val="2EC8FF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3875A8"/>
    <w:multiLevelType w:val="hybridMultilevel"/>
    <w:tmpl w:val="25348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57AFA"/>
    <w:multiLevelType w:val="hybridMultilevel"/>
    <w:tmpl w:val="34BA3CE0"/>
    <w:lvl w:ilvl="0" w:tplc="F88CC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A7A86"/>
    <w:multiLevelType w:val="hybridMultilevel"/>
    <w:tmpl w:val="8DA447F0"/>
    <w:lvl w:ilvl="0" w:tplc="84E4844C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C366C"/>
    <w:multiLevelType w:val="hybridMultilevel"/>
    <w:tmpl w:val="0D0837C0"/>
    <w:lvl w:ilvl="0" w:tplc="F88CC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5C6805"/>
    <w:multiLevelType w:val="hybridMultilevel"/>
    <w:tmpl w:val="8C8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E78E2"/>
    <w:multiLevelType w:val="hybridMultilevel"/>
    <w:tmpl w:val="B2A4AF08"/>
    <w:lvl w:ilvl="0" w:tplc="49D6F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CB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AF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2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8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A8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25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0A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AB274A"/>
    <w:multiLevelType w:val="hybridMultilevel"/>
    <w:tmpl w:val="06E2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16E"/>
    <w:multiLevelType w:val="hybridMultilevel"/>
    <w:tmpl w:val="A7CCAF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8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0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4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"/>
  </w:num>
  <w:num w:numId="5">
    <w:abstractNumId w:val="34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16"/>
  </w:num>
  <w:num w:numId="13">
    <w:abstractNumId w:val="1"/>
  </w:num>
  <w:num w:numId="14">
    <w:abstractNumId w:val="27"/>
  </w:num>
  <w:num w:numId="15">
    <w:abstractNumId w:val="26"/>
  </w:num>
  <w:num w:numId="16">
    <w:abstractNumId w:val="20"/>
  </w:num>
  <w:num w:numId="17">
    <w:abstractNumId w:val="31"/>
  </w:num>
  <w:num w:numId="18">
    <w:abstractNumId w:val="29"/>
  </w:num>
  <w:num w:numId="19">
    <w:abstractNumId w:val="24"/>
  </w:num>
  <w:num w:numId="20">
    <w:abstractNumId w:val="5"/>
  </w:num>
  <w:num w:numId="21">
    <w:abstractNumId w:val="3"/>
  </w:num>
  <w:num w:numId="22">
    <w:abstractNumId w:val="35"/>
  </w:num>
  <w:num w:numId="23">
    <w:abstractNumId w:val="0"/>
  </w:num>
  <w:num w:numId="24">
    <w:abstractNumId w:val="15"/>
  </w:num>
  <w:num w:numId="25">
    <w:abstractNumId w:val="19"/>
  </w:num>
  <w:num w:numId="26">
    <w:abstractNumId w:val="6"/>
  </w:num>
  <w:num w:numId="27">
    <w:abstractNumId w:val="25"/>
  </w:num>
  <w:num w:numId="28">
    <w:abstractNumId w:val="8"/>
  </w:num>
  <w:num w:numId="29">
    <w:abstractNumId w:val="32"/>
  </w:num>
  <w:num w:numId="30">
    <w:abstractNumId w:val="28"/>
  </w:num>
  <w:num w:numId="31">
    <w:abstractNumId w:val="18"/>
  </w:num>
  <w:num w:numId="32">
    <w:abstractNumId w:val="14"/>
  </w:num>
  <w:num w:numId="33">
    <w:abstractNumId w:val="17"/>
  </w:num>
  <w:num w:numId="34">
    <w:abstractNumId w:val="11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A"/>
    <w:rsid w:val="00000DC6"/>
    <w:rsid w:val="00001F44"/>
    <w:rsid w:val="00002ADC"/>
    <w:rsid w:val="000217DE"/>
    <w:rsid w:val="00023A54"/>
    <w:rsid w:val="000250D9"/>
    <w:rsid w:val="00030736"/>
    <w:rsid w:val="000346F5"/>
    <w:rsid w:val="000550C4"/>
    <w:rsid w:val="000B3037"/>
    <w:rsid w:val="000B522B"/>
    <w:rsid w:val="000C053D"/>
    <w:rsid w:val="000C1CD9"/>
    <w:rsid w:val="000D7245"/>
    <w:rsid w:val="00117F20"/>
    <w:rsid w:val="00142363"/>
    <w:rsid w:val="00152784"/>
    <w:rsid w:val="00173B42"/>
    <w:rsid w:val="001857EA"/>
    <w:rsid w:val="0018668E"/>
    <w:rsid w:val="001A6666"/>
    <w:rsid w:val="001B2B72"/>
    <w:rsid w:val="001C0070"/>
    <w:rsid w:val="001D1C4A"/>
    <w:rsid w:val="001D3360"/>
    <w:rsid w:val="001F3068"/>
    <w:rsid w:val="00202881"/>
    <w:rsid w:val="00206724"/>
    <w:rsid w:val="0022539C"/>
    <w:rsid w:val="00227148"/>
    <w:rsid w:val="00232224"/>
    <w:rsid w:val="002570D3"/>
    <w:rsid w:val="002626EB"/>
    <w:rsid w:val="00264788"/>
    <w:rsid w:val="00270C99"/>
    <w:rsid w:val="002E162A"/>
    <w:rsid w:val="002F2ADE"/>
    <w:rsid w:val="003553AB"/>
    <w:rsid w:val="003678DF"/>
    <w:rsid w:val="00376616"/>
    <w:rsid w:val="0038778F"/>
    <w:rsid w:val="003A4D42"/>
    <w:rsid w:val="003D5053"/>
    <w:rsid w:val="004117C7"/>
    <w:rsid w:val="00420E30"/>
    <w:rsid w:val="0042532D"/>
    <w:rsid w:val="00426596"/>
    <w:rsid w:val="00427768"/>
    <w:rsid w:val="00431B99"/>
    <w:rsid w:val="00444A9B"/>
    <w:rsid w:val="00445425"/>
    <w:rsid w:val="004538C1"/>
    <w:rsid w:val="00454E70"/>
    <w:rsid w:val="00466EA3"/>
    <w:rsid w:val="00493CAC"/>
    <w:rsid w:val="0049552B"/>
    <w:rsid w:val="00497EDA"/>
    <w:rsid w:val="004B01FD"/>
    <w:rsid w:val="004F79B9"/>
    <w:rsid w:val="00514B63"/>
    <w:rsid w:val="00516CF0"/>
    <w:rsid w:val="0053792F"/>
    <w:rsid w:val="00545C14"/>
    <w:rsid w:val="005855A0"/>
    <w:rsid w:val="00587DE2"/>
    <w:rsid w:val="005A2993"/>
    <w:rsid w:val="005A4C0B"/>
    <w:rsid w:val="005A7C8B"/>
    <w:rsid w:val="005C4DD5"/>
    <w:rsid w:val="005D768E"/>
    <w:rsid w:val="005E5458"/>
    <w:rsid w:val="005F12FC"/>
    <w:rsid w:val="005F6F17"/>
    <w:rsid w:val="00612189"/>
    <w:rsid w:val="00613FEA"/>
    <w:rsid w:val="006301DF"/>
    <w:rsid w:val="00636CDC"/>
    <w:rsid w:val="00640B29"/>
    <w:rsid w:val="006470E0"/>
    <w:rsid w:val="0064738C"/>
    <w:rsid w:val="006622CB"/>
    <w:rsid w:val="00671FA9"/>
    <w:rsid w:val="00684F02"/>
    <w:rsid w:val="00685724"/>
    <w:rsid w:val="00686A15"/>
    <w:rsid w:val="006943CF"/>
    <w:rsid w:val="006A1000"/>
    <w:rsid w:val="006F03EA"/>
    <w:rsid w:val="007027A4"/>
    <w:rsid w:val="007124D6"/>
    <w:rsid w:val="00730419"/>
    <w:rsid w:val="007360D2"/>
    <w:rsid w:val="00762A0B"/>
    <w:rsid w:val="00765927"/>
    <w:rsid w:val="007B2F5D"/>
    <w:rsid w:val="007B38E9"/>
    <w:rsid w:val="007C1D78"/>
    <w:rsid w:val="007C6401"/>
    <w:rsid w:val="007D046A"/>
    <w:rsid w:val="00800C0F"/>
    <w:rsid w:val="00822C6A"/>
    <w:rsid w:val="00856AB5"/>
    <w:rsid w:val="008760EA"/>
    <w:rsid w:val="00887D63"/>
    <w:rsid w:val="00890E5A"/>
    <w:rsid w:val="008A2B42"/>
    <w:rsid w:val="008B1C39"/>
    <w:rsid w:val="008D2314"/>
    <w:rsid w:val="008D65F1"/>
    <w:rsid w:val="008E6437"/>
    <w:rsid w:val="008E6DF8"/>
    <w:rsid w:val="008F6197"/>
    <w:rsid w:val="00903CA7"/>
    <w:rsid w:val="0090696A"/>
    <w:rsid w:val="00907169"/>
    <w:rsid w:val="00924180"/>
    <w:rsid w:val="0093782C"/>
    <w:rsid w:val="0094328A"/>
    <w:rsid w:val="00985B4C"/>
    <w:rsid w:val="00995125"/>
    <w:rsid w:val="009A212F"/>
    <w:rsid w:val="009C63A3"/>
    <w:rsid w:val="009C70D7"/>
    <w:rsid w:val="009D09B8"/>
    <w:rsid w:val="009F6F62"/>
    <w:rsid w:val="009F712B"/>
    <w:rsid w:val="009F7DD0"/>
    <w:rsid w:val="00A33B17"/>
    <w:rsid w:val="00A35302"/>
    <w:rsid w:val="00A356E3"/>
    <w:rsid w:val="00A40DA6"/>
    <w:rsid w:val="00A7467E"/>
    <w:rsid w:val="00A76B13"/>
    <w:rsid w:val="00A76F6B"/>
    <w:rsid w:val="00A83FF4"/>
    <w:rsid w:val="00A97CC0"/>
    <w:rsid w:val="00AB1114"/>
    <w:rsid w:val="00AB3075"/>
    <w:rsid w:val="00AD5482"/>
    <w:rsid w:val="00AE4816"/>
    <w:rsid w:val="00AF292C"/>
    <w:rsid w:val="00B1201E"/>
    <w:rsid w:val="00B206E0"/>
    <w:rsid w:val="00B26BD3"/>
    <w:rsid w:val="00B3401E"/>
    <w:rsid w:val="00B6212B"/>
    <w:rsid w:val="00B632B2"/>
    <w:rsid w:val="00B66742"/>
    <w:rsid w:val="00BA0AB7"/>
    <w:rsid w:val="00BA33A9"/>
    <w:rsid w:val="00BB2A90"/>
    <w:rsid w:val="00BB4AE4"/>
    <w:rsid w:val="00BC06E0"/>
    <w:rsid w:val="00BD48E0"/>
    <w:rsid w:val="00BF11A4"/>
    <w:rsid w:val="00C0283B"/>
    <w:rsid w:val="00C1192E"/>
    <w:rsid w:val="00C14E43"/>
    <w:rsid w:val="00C26147"/>
    <w:rsid w:val="00C44144"/>
    <w:rsid w:val="00C77C69"/>
    <w:rsid w:val="00CB6ECA"/>
    <w:rsid w:val="00CC628F"/>
    <w:rsid w:val="00D10777"/>
    <w:rsid w:val="00D201E5"/>
    <w:rsid w:val="00D26FEE"/>
    <w:rsid w:val="00D33ADF"/>
    <w:rsid w:val="00D369FF"/>
    <w:rsid w:val="00D4775C"/>
    <w:rsid w:val="00D47E71"/>
    <w:rsid w:val="00D60213"/>
    <w:rsid w:val="00D650FF"/>
    <w:rsid w:val="00D72B85"/>
    <w:rsid w:val="00D83402"/>
    <w:rsid w:val="00DA25A2"/>
    <w:rsid w:val="00DA7479"/>
    <w:rsid w:val="00DB3E79"/>
    <w:rsid w:val="00DE2335"/>
    <w:rsid w:val="00E07E80"/>
    <w:rsid w:val="00E1579A"/>
    <w:rsid w:val="00E346CC"/>
    <w:rsid w:val="00E57F83"/>
    <w:rsid w:val="00EB36CC"/>
    <w:rsid w:val="00ED79DF"/>
    <w:rsid w:val="00EF397B"/>
    <w:rsid w:val="00F029B6"/>
    <w:rsid w:val="00F23625"/>
    <w:rsid w:val="00F442E5"/>
    <w:rsid w:val="00F7083B"/>
    <w:rsid w:val="00F81FD4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20F4A7"/>
  <w15:chartTrackingRefBased/>
  <w15:docId w15:val="{15F285E3-2C8D-4F19-872E-67598F9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C6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57F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77"/>
  </w:style>
  <w:style w:type="paragraph" w:styleId="Footer">
    <w:name w:val="footer"/>
    <w:basedOn w:val="Normal"/>
    <w:link w:val="FooterChar"/>
    <w:uiPriority w:val="99"/>
    <w:unhideWhenUsed/>
    <w:rsid w:val="00D1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77"/>
  </w:style>
  <w:style w:type="paragraph" w:styleId="ListParagraph">
    <w:name w:val="List Paragraph"/>
    <w:basedOn w:val="Normal"/>
    <w:link w:val="ListParagraphChar"/>
    <w:uiPriority w:val="34"/>
    <w:qFormat/>
    <w:rsid w:val="00202881"/>
    <w:pPr>
      <w:numPr>
        <w:numId w:val="36"/>
      </w:numPr>
      <w:spacing w:after="600"/>
      <w:ind w:left="641" w:hanging="357"/>
    </w:pPr>
  </w:style>
  <w:style w:type="character" w:styleId="Hyperlink">
    <w:name w:val="Hyperlink"/>
    <w:basedOn w:val="DefaultParagraphFont"/>
    <w:uiPriority w:val="99"/>
    <w:unhideWhenUsed/>
    <w:rsid w:val="00E346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6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74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2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57F8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6F6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3A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85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Bullet1">
    <w:name w:val="List Bullet1"/>
    <w:basedOn w:val="ListParagraph"/>
    <w:link w:val="ListbulletChar"/>
    <w:qFormat/>
    <w:rsid w:val="00454E70"/>
    <w:pPr>
      <w:numPr>
        <w:numId w:val="34"/>
      </w:numPr>
      <w:spacing w:after="120" w:line="240" w:lineRule="auto"/>
      <w:ind w:left="92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4E70"/>
    <w:rPr>
      <w:rFonts w:ascii="Arial" w:hAnsi="Arial"/>
      <w:sz w:val="24"/>
    </w:rPr>
  </w:style>
  <w:style w:type="character" w:customStyle="1" w:styleId="ListbulletChar">
    <w:name w:val="List bullet Char"/>
    <w:basedOn w:val="ListParagraphChar"/>
    <w:link w:val="ListBullet1"/>
    <w:rsid w:val="00454E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advance-he.ac.uk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creativecommons.org/licenses/by-nc-sa/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coronyedward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CYM DIL action plan workshop v 4.0</vt:lpstr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 DIL action plan workshop v 4.0</dc:title>
  <dc:subject/>
  <dc:creator>Edwards, Corony</dc:creator>
  <cp:keywords>DIL resources</cp:keywords>
  <dc:description/>
  <cp:lastModifiedBy>Braddock A.C.</cp:lastModifiedBy>
  <cp:revision>32</cp:revision>
  <dcterms:created xsi:type="dcterms:W3CDTF">2019-09-26T08:04:00Z</dcterms:created>
  <dcterms:modified xsi:type="dcterms:W3CDTF">2019-09-26T08:42:00Z</dcterms:modified>
</cp:coreProperties>
</file>