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83D55" w14:textId="77777777" w:rsidR="000508EB" w:rsidRDefault="000508EB" w:rsidP="000508EB">
      <w:pPr>
        <w:rPr>
          <w:b/>
          <w:bCs/>
        </w:rPr>
      </w:pPr>
    </w:p>
    <w:p w14:paraId="7A1E0DA8" w14:textId="3EBE4C66" w:rsidR="007B7A7B" w:rsidRPr="007B7A7B" w:rsidRDefault="000508EB" w:rsidP="007B7A7B">
      <w:pPr>
        <w:pStyle w:val="Title"/>
        <w:spacing w:after="0"/>
        <w:jc w:val="center"/>
        <w:rPr>
          <w:sz w:val="16"/>
          <w:szCs w:val="16"/>
          <w:lang w:val="en-US"/>
        </w:rPr>
      </w:pPr>
      <w:r w:rsidRPr="002F791B">
        <w:rPr>
          <w:sz w:val="44"/>
          <w:szCs w:val="44"/>
        </w:rPr>
        <w:t xml:space="preserve">Monitoring people for adverse effects of medicines: The </w:t>
      </w:r>
      <w:r w:rsidR="00F603A4">
        <w:rPr>
          <w:sz w:val="44"/>
          <w:szCs w:val="44"/>
        </w:rPr>
        <w:t>Adverse Drug Reaction (</w:t>
      </w:r>
      <w:r w:rsidRPr="002F791B">
        <w:rPr>
          <w:sz w:val="44"/>
          <w:szCs w:val="44"/>
        </w:rPr>
        <w:t>ADRe</w:t>
      </w:r>
      <w:r w:rsidR="00F603A4">
        <w:rPr>
          <w:sz w:val="44"/>
          <w:szCs w:val="44"/>
        </w:rPr>
        <w:t>)</w:t>
      </w:r>
      <w:r w:rsidRPr="002F791B">
        <w:rPr>
          <w:sz w:val="44"/>
          <w:szCs w:val="44"/>
        </w:rPr>
        <w:t xml:space="preserve"> Profile</w:t>
      </w:r>
      <w:r w:rsidRPr="002F791B">
        <w:rPr>
          <w:sz w:val="44"/>
          <w:szCs w:val="44"/>
        </w:rPr>
        <w:br/>
      </w:r>
    </w:p>
    <w:p w14:paraId="49C7E674" w14:textId="784E97AF" w:rsidR="002F791B" w:rsidRPr="002F791B" w:rsidRDefault="002F791B" w:rsidP="007B7A7B">
      <w:pPr>
        <w:pStyle w:val="Heading1"/>
        <w:spacing w:before="0" w:after="0"/>
      </w:pPr>
      <w:r w:rsidRPr="002F791B">
        <w:rPr>
          <w:lang w:val="en-US"/>
        </w:rPr>
        <w:t>Benefits and harms of medicines: the problem</w:t>
      </w:r>
    </w:p>
    <w:p w14:paraId="14E0BC0C" w14:textId="77777777" w:rsidR="002F791B" w:rsidRPr="002F791B" w:rsidRDefault="002F791B" w:rsidP="002F791B">
      <w:pPr>
        <w:numPr>
          <w:ilvl w:val="0"/>
          <w:numId w:val="1"/>
        </w:numPr>
        <w:rPr>
          <w:sz w:val="28"/>
          <w:szCs w:val="28"/>
        </w:rPr>
      </w:pPr>
      <w:r w:rsidRPr="002F791B">
        <w:rPr>
          <w:sz w:val="28"/>
          <w:szCs w:val="28"/>
          <w:lang w:val="en-US"/>
        </w:rPr>
        <w:t>Medication-related harm accounts for ~50% of preventable harm during healthcare delivery &amp; costs ~$42 billion p.a. (WHO 2022).</w:t>
      </w:r>
    </w:p>
    <w:p w14:paraId="0C9ACBEA" w14:textId="171878F6" w:rsidR="002F791B" w:rsidRPr="002F791B" w:rsidRDefault="002F791B" w:rsidP="002F791B">
      <w:pPr>
        <w:numPr>
          <w:ilvl w:val="0"/>
          <w:numId w:val="1"/>
        </w:numPr>
        <w:rPr>
          <w:sz w:val="28"/>
          <w:szCs w:val="28"/>
        </w:rPr>
      </w:pPr>
      <w:r w:rsidRPr="002F791B">
        <w:rPr>
          <w:sz w:val="28"/>
          <w:szCs w:val="28"/>
          <w:lang w:val="en-US"/>
        </w:rPr>
        <w:t xml:space="preserve">ADRs cause 5-8% unplanned UK hospital admissions (NICE 2015): </w:t>
      </w:r>
    </w:p>
    <w:p w14:paraId="298D8249" w14:textId="7AA85C17" w:rsidR="002F791B" w:rsidRPr="002F791B" w:rsidRDefault="002F791B" w:rsidP="002F791B">
      <w:pPr>
        <w:numPr>
          <w:ilvl w:val="1"/>
          <w:numId w:val="1"/>
        </w:numPr>
        <w:rPr>
          <w:sz w:val="28"/>
          <w:szCs w:val="28"/>
        </w:rPr>
      </w:pPr>
      <w:r w:rsidRPr="002F791B">
        <w:rPr>
          <w:sz w:val="28"/>
          <w:szCs w:val="28"/>
          <w:lang w:val="en-US"/>
        </w:rPr>
        <w:t>8.7% in older people (Oscan</w:t>
      </w:r>
      <w:r w:rsidR="000B369E">
        <w:rPr>
          <w:sz w:val="28"/>
          <w:szCs w:val="28"/>
          <w:lang w:val="en-US"/>
        </w:rPr>
        <w:t>o</w:t>
      </w:r>
      <w:r w:rsidRPr="002F791B">
        <w:rPr>
          <w:sz w:val="28"/>
          <w:szCs w:val="28"/>
          <w:lang w:val="en-US"/>
        </w:rPr>
        <w:t xml:space="preserve">a et al 2017) </w:t>
      </w:r>
    </w:p>
    <w:p w14:paraId="34CBFFCA" w14:textId="77777777" w:rsidR="002F791B" w:rsidRPr="002F791B" w:rsidRDefault="002F791B" w:rsidP="002F791B">
      <w:pPr>
        <w:numPr>
          <w:ilvl w:val="1"/>
          <w:numId w:val="1"/>
        </w:numPr>
        <w:rPr>
          <w:sz w:val="28"/>
          <w:szCs w:val="28"/>
        </w:rPr>
      </w:pPr>
      <w:r w:rsidRPr="002F791B">
        <w:rPr>
          <w:sz w:val="28"/>
          <w:szCs w:val="28"/>
          <w:lang w:val="en-US"/>
        </w:rPr>
        <w:t>18.4% medical admissions (Osanlou et al 2022)</w:t>
      </w:r>
    </w:p>
    <w:p w14:paraId="1120B6FC" w14:textId="77777777" w:rsidR="002F791B" w:rsidRPr="002F791B" w:rsidRDefault="002F791B" w:rsidP="002F791B">
      <w:pPr>
        <w:numPr>
          <w:ilvl w:val="1"/>
          <w:numId w:val="1"/>
        </w:numPr>
        <w:rPr>
          <w:sz w:val="28"/>
          <w:szCs w:val="28"/>
        </w:rPr>
      </w:pPr>
      <w:r w:rsidRPr="002F791B">
        <w:rPr>
          <w:sz w:val="28"/>
          <w:szCs w:val="28"/>
          <w:lang w:val="en-US"/>
        </w:rPr>
        <w:t xml:space="preserve">most ADRs predictable and avoidable </w:t>
      </w:r>
    </w:p>
    <w:p w14:paraId="2F18A9C7" w14:textId="77777777" w:rsidR="002F791B" w:rsidRPr="002F791B" w:rsidRDefault="002F791B" w:rsidP="002F791B">
      <w:pPr>
        <w:numPr>
          <w:ilvl w:val="0"/>
          <w:numId w:val="1"/>
        </w:numPr>
        <w:rPr>
          <w:sz w:val="28"/>
          <w:szCs w:val="28"/>
        </w:rPr>
      </w:pPr>
      <w:r w:rsidRPr="002F791B">
        <w:rPr>
          <w:sz w:val="28"/>
          <w:szCs w:val="28"/>
          <w:lang w:val="en-US"/>
        </w:rPr>
        <w:t xml:space="preserve">Voluntary reporting of serious ADRs omits 94% (Hazel &amp; Shakir 2006), </w:t>
      </w:r>
    </w:p>
    <w:p w14:paraId="60361507" w14:textId="77777777" w:rsidR="002F791B" w:rsidRPr="002F791B" w:rsidRDefault="002F791B" w:rsidP="002F791B">
      <w:pPr>
        <w:rPr>
          <w:sz w:val="28"/>
          <w:szCs w:val="28"/>
        </w:rPr>
      </w:pPr>
      <w:r w:rsidRPr="002F791B">
        <w:rPr>
          <w:sz w:val="28"/>
          <w:szCs w:val="28"/>
          <w:lang w:val="en-US"/>
        </w:rPr>
        <w:t xml:space="preserve">&lt;1% of GI haemorrhages are reported in UK (Shuttleworth et al 2023). </w:t>
      </w:r>
    </w:p>
    <w:p w14:paraId="15D1904D" w14:textId="77777777" w:rsidR="002F791B" w:rsidRPr="002F791B" w:rsidRDefault="002F791B" w:rsidP="002F791B">
      <w:pPr>
        <w:numPr>
          <w:ilvl w:val="0"/>
          <w:numId w:val="2"/>
        </w:numPr>
        <w:rPr>
          <w:sz w:val="28"/>
          <w:szCs w:val="28"/>
        </w:rPr>
      </w:pPr>
      <w:r w:rsidRPr="002F791B">
        <w:rPr>
          <w:sz w:val="28"/>
          <w:szCs w:val="28"/>
          <w:lang w:val="en-US"/>
        </w:rPr>
        <w:t xml:space="preserve">“Definitely avoidable” ADRs cause 712 deaths directly, and contribute to another 1,708, costing NHS ~£98.5 million p.a. (Elliott et al 2018). </w:t>
      </w:r>
    </w:p>
    <w:p w14:paraId="57246BCF" w14:textId="23821BCD" w:rsidR="002F791B" w:rsidRPr="00F024EC" w:rsidRDefault="002F791B" w:rsidP="004C0CF5">
      <w:pPr>
        <w:numPr>
          <w:ilvl w:val="0"/>
          <w:numId w:val="2"/>
        </w:numPr>
        <w:rPr>
          <w:sz w:val="28"/>
          <w:szCs w:val="28"/>
        </w:rPr>
      </w:pPr>
      <w:r w:rsidRPr="00BB74F6">
        <w:rPr>
          <w:sz w:val="28"/>
          <w:szCs w:val="28"/>
          <w:lang w:val="en-US"/>
        </w:rPr>
        <w:t>Potentially inappropriate prescribing doubles costs in 1</w:t>
      </w:r>
      <w:r w:rsidRPr="002F791B">
        <w:rPr>
          <w:sz w:val="28"/>
          <w:szCs w:val="28"/>
          <w:lang w:val="en-US"/>
        </w:rPr>
        <w:sym w:font="Symbol" w:char="F0B0"/>
      </w:r>
      <w:r w:rsidRPr="00BB74F6">
        <w:rPr>
          <w:sz w:val="28"/>
          <w:szCs w:val="28"/>
          <w:lang w:val="en-US"/>
        </w:rPr>
        <w:t xml:space="preserve"> care (Robinson et al 2022): 1 preventable ADR costs €2,851-9,015 (Formica et al., 2018). </w:t>
      </w:r>
    </w:p>
    <w:p w14:paraId="14770ECC" w14:textId="0A4066B9" w:rsidR="00F024EC" w:rsidRPr="00F024EC" w:rsidRDefault="00F024EC" w:rsidP="00F024EC">
      <w:pPr>
        <w:numPr>
          <w:ilvl w:val="0"/>
          <w:numId w:val="2"/>
        </w:numPr>
        <w:rPr>
          <w:sz w:val="28"/>
          <w:szCs w:val="28"/>
        </w:rPr>
      </w:pPr>
      <w:r w:rsidRPr="00F024EC">
        <w:rPr>
          <w:sz w:val="28"/>
          <w:szCs w:val="28"/>
          <w:lang w:val="en-US"/>
        </w:rPr>
        <w:t xml:space="preserve">Hospital admissions to manage ADRs cost £490.716 / month in 1 UK hospital ~£2.2bn pa to NHS England (Osanlou et al </w:t>
      </w:r>
      <w:proofErr w:type="gramStart"/>
      <w:r w:rsidRPr="00F024EC">
        <w:rPr>
          <w:sz w:val="28"/>
          <w:szCs w:val="28"/>
          <w:lang w:val="en-US"/>
        </w:rPr>
        <w:t>2022)</w:t>
      </w:r>
      <w:r w:rsidR="00CA54A8">
        <w:rPr>
          <w:sz w:val="28"/>
          <w:szCs w:val="28"/>
          <w:lang w:val="en-US"/>
        </w:rPr>
        <w:t>*</w:t>
      </w:r>
      <w:proofErr w:type="gramEnd"/>
      <w:r w:rsidRPr="00F024EC">
        <w:rPr>
          <w:sz w:val="28"/>
          <w:szCs w:val="28"/>
          <w:lang w:val="en-US"/>
        </w:rPr>
        <w:t xml:space="preserve">. </w:t>
      </w:r>
    </w:p>
    <w:p w14:paraId="2B48B8A5" w14:textId="77777777" w:rsidR="002F791B" w:rsidRPr="00625D39" w:rsidRDefault="002F791B" w:rsidP="002F791B">
      <w:pPr>
        <w:numPr>
          <w:ilvl w:val="0"/>
          <w:numId w:val="3"/>
        </w:numPr>
        <w:rPr>
          <w:sz w:val="28"/>
          <w:szCs w:val="28"/>
        </w:rPr>
      </w:pPr>
      <w:r w:rsidRPr="002F791B">
        <w:rPr>
          <w:sz w:val="28"/>
          <w:szCs w:val="28"/>
          <w:lang w:val="en-US"/>
        </w:rPr>
        <w:t xml:space="preserve">Non-indicated, unnecessary prescribing of dependency-forming medicines costs NHS England ~£500,000 p.a. (Davies et al 2022).  </w:t>
      </w:r>
    </w:p>
    <w:p w14:paraId="7DAABBE4" w14:textId="6CB84B84" w:rsidR="00625D39" w:rsidRDefault="002C38B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* </w:t>
      </w:r>
      <w:r w:rsidR="00A862BD">
        <w:t>The total NHS budget for England 2023</w:t>
      </w:r>
      <w:r w:rsidR="00266C10">
        <w:t xml:space="preserve"> </w:t>
      </w:r>
      <w:r w:rsidR="00A862BD">
        <w:t>was £163bn (Health Foundation 2024)</w:t>
      </w:r>
    </w:p>
    <w:p w14:paraId="36C88100" w14:textId="77777777" w:rsidR="00625D39" w:rsidRPr="002F791B" w:rsidRDefault="00625D39" w:rsidP="00625D39">
      <w:pPr>
        <w:ind w:left="720"/>
        <w:rPr>
          <w:sz w:val="28"/>
          <w:szCs w:val="28"/>
        </w:rPr>
      </w:pPr>
    </w:p>
    <w:p w14:paraId="586E1063" w14:textId="77777777" w:rsidR="00266C10" w:rsidRDefault="00266C10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14:paraId="7C235336" w14:textId="77777777" w:rsidR="00953793" w:rsidRDefault="00953793" w:rsidP="007B7A7B">
      <w:pPr>
        <w:pStyle w:val="Heading1"/>
        <w:spacing w:before="0" w:after="0" w:line="240" w:lineRule="auto"/>
        <w:jc w:val="center"/>
        <w:rPr>
          <w:sz w:val="36"/>
          <w:szCs w:val="36"/>
        </w:rPr>
      </w:pPr>
    </w:p>
    <w:p w14:paraId="22B2C93C" w14:textId="4FD6BD27" w:rsidR="002F791B" w:rsidRPr="00625D39" w:rsidRDefault="002F791B" w:rsidP="007B7A7B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625D39">
        <w:rPr>
          <w:sz w:val="36"/>
          <w:szCs w:val="36"/>
        </w:rPr>
        <w:t>What ADRe does:</w:t>
      </w:r>
    </w:p>
    <w:p w14:paraId="56735870" w14:textId="086B97FF" w:rsidR="002F791B" w:rsidRPr="002F791B" w:rsidRDefault="002F791B" w:rsidP="007B7A7B">
      <w:pPr>
        <w:pStyle w:val="Heading1"/>
        <w:spacing w:before="0" w:after="0" w:line="240" w:lineRule="auto"/>
        <w:jc w:val="center"/>
        <w:rPr>
          <w:sz w:val="32"/>
          <w:szCs w:val="32"/>
        </w:rPr>
      </w:pPr>
      <w:r w:rsidRPr="002F791B">
        <w:rPr>
          <w:sz w:val="32"/>
          <w:szCs w:val="32"/>
        </w:rPr>
        <w:t>ADRe checks patients for potential ADRs and offers decision support.</w:t>
      </w:r>
    </w:p>
    <w:p w14:paraId="2214B02F" w14:textId="77777777" w:rsidR="002F791B" w:rsidRPr="002F791B" w:rsidRDefault="002F791B" w:rsidP="002F791B">
      <w:pPr>
        <w:rPr>
          <w:sz w:val="28"/>
          <w:szCs w:val="28"/>
        </w:rPr>
      </w:pPr>
      <w:r w:rsidRPr="002F791B">
        <w:rPr>
          <w:sz w:val="28"/>
          <w:szCs w:val="28"/>
        </w:rPr>
        <w:t xml:space="preserve">In routine practice, ADRe: </w:t>
      </w:r>
    </w:p>
    <w:p w14:paraId="0EB7B958" w14:textId="77777777" w:rsidR="002F791B" w:rsidRPr="002F791B" w:rsidRDefault="002F791B" w:rsidP="002F791B">
      <w:pPr>
        <w:numPr>
          <w:ilvl w:val="0"/>
          <w:numId w:val="4"/>
        </w:numPr>
        <w:rPr>
          <w:sz w:val="28"/>
          <w:szCs w:val="28"/>
        </w:rPr>
      </w:pPr>
      <w:r w:rsidRPr="002F791B">
        <w:rPr>
          <w:b/>
          <w:bCs/>
          <w:sz w:val="28"/>
          <w:szCs w:val="28"/>
        </w:rPr>
        <w:t>Improves patients’ lives</w:t>
      </w:r>
      <w:r w:rsidRPr="002F791B">
        <w:rPr>
          <w:sz w:val="28"/>
          <w:szCs w:val="28"/>
        </w:rPr>
        <w:t xml:space="preserve"> e.g. reduces pain, dyspnoea, sedation</w:t>
      </w:r>
    </w:p>
    <w:p w14:paraId="394E1646" w14:textId="7CCDEA52" w:rsidR="002F791B" w:rsidRPr="002F791B" w:rsidRDefault="002F791B" w:rsidP="002F791B">
      <w:pPr>
        <w:numPr>
          <w:ilvl w:val="0"/>
          <w:numId w:val="4"/>
        </w:numPr>
        <w:rPr>
          <w:sz w:val="28"/>
          <w:szCs w:val="28"/>
        </w:rPr>
      </w:pPr>
      <w:r w:rsidRPr="002F791B">
        <w:rPr>
          <w:b/>
          <w:bCs/>
          <w:sz w:val="28"/>
          <w:szCs w:val="28"/>
        </w:rPr>
        <w:t xml:space="preserve">Assists in early identification </w:t>
      </w:r>
      <w:r w:rsidRPr="002F791B">
        <w:rPr>
          <w:sz w:val="28"/>
          <w:szCs w:val="28"/>
        </w:rPr>
        <w:t>of serious problems, some wholly or partly due to ADRs e.g. pancreatitis, falls, chest pain</w:t>
      </w:r>
    </w:p>
    <w:p w14:paraId="03B942D7" w14:textId="77777777" w:rsidR="002F791B" w:rsidRPr="002F791B" w:rsidRDefault="002F791B" w:rsidP="002F791B">
      <w:pPr>
        <w:numPr>
          <w:ilvl w:val="0"/>
          <w:numId w:val="4"/>
        </w:numPr>
        <w:rPr>
          <w:sz w:val="28"/>
          <w:szCs w:val="28"/>
        </w:rPr>
      </w:pPr>
      <w:r w:rsidRPr="002F791B">
        <w:rPr>
          <w:b/>
          <w:bCs/>
          <w:sz w:val="28"/>
          <w:szCs w:val="28"/>
        </w:rPr>
        <w:t xml:space="preserve">Identifies live-threatening conditions </w:t>
      </w:r>
      <w:r w:rsidRPr="002F791B">
        <w:rPr>
          <w:sz w:val="28"/>
          <w:szCs w:val="28"/>
        </w:rPr>
        <w:t>in ~10% participants</w:t>
      </w:r>
    </w:p>
    <w:p w14:paraId="7545E98D" w14:textId="77777777" w:rsidR="002F791B" w:rsidRPr="002F791B" w:rsidRDefault="002F791B" w:rsidP="002F791B">
      <w:pPr>
        <w:numPr>
          <w:ilvl w:val="0"/>
          <w:numId w:val="4"/>
        </w:numPr>
        <w:rPr>
          <w:sz w:val="28"/>
          <w:szCs w:val="28"/>
        </w:rPr>
      </w:pPr>
      <w:r w:rsidRPr="002F791B">
        <w:rPr>
          <w:b/>
          <w:bCs/>
          <w:sz w:val="28"/>
          <w:szCs w:val="28"/>
        </w:rPr>
        <w:t xml:space="preserve">Supports and documents medication reviews </w:t>
      </w:r>
    </w:p>
    <w:p w14:paraId="161DAFF3" w14:textId="77777777" w:rsidR="002F791B" w:rsidRPr="002F791B" w:rsidRDefault="002F791B" w:rsidP="002F791B">
      <w:pPr>
        <w:numPr>
          <w:ilvl w:val="0"/>
          <w:numId w:val="4"/>
        </w:numPr>
        <w:rPr>
          <w:sz w:val="28"/>
          <w:szCs w:val="28"/>
        </w:rPr>
      </w:pPr>
      <w:r w:rsidRPr="002F791B">
        <w:rPr>
          <w:sz w:val="28"/>
          <w:szCs w:val="28"/>
        </w:rPr>
        <w:t>Ensures compliance with policies &amp; guidelines.</w:t>
      </w:r>
    </w:p>
    <w:p w14:paraId="0BF3BC25" w14:textId="77777777" w:rsidR="002F791B" w:rsidRPr="002F791B" w:rsidRDefault="002F791B" w:rsidP="002F791B">
      <w:pPr>
        <w:rPr>
          <w:sz w:val="28"/>
          <w:szCs w:val="28"/>
        </w:rPr>
      </w:pPr>
      <w:r w:rsidRPr="002F791B">
        <w:rPr>
          <w:sz w:val="28"/>
          <w:szCs w:val="28"/>
        </w:rPr>
        <w:t xml:space="preserve">ADRe has been tested in clinical trials, observation, before and after and follow up studies. We hope to work with organisations digitising patient records, developing monitoring devices or recording ADRs. </w:t>
      </w:r>
    </w:p>
    <w:p w14:paraId="4E1C0406" w14:textId="77777777" w:rsidR="007B7A7B" w:rsidRPr="002F791B" w:rsidRDefault="007B7A7B" w:rsidP="007B7A7B">
      <w:pPr>
        <w:pStyle w:val="Title"/>
        <w:spacing w:after="0"/>
        <w:jc w:val="center"/>
        <w:rPr>
          <w:sz w:val="44"/>
          <w:szCs w:val="44"/>
        </w:rPr>
      </w:pPr>
      <w:r>
        <w:t xml:space="preserve">Please visit our website: </w:t>
      </w:r>
      <w:hyperlink r:id="rId7" w:history="1">
        <w:r w:rsidRPr="002F791B">
          <w:rPr>
            <w:rStyle w:val="Hyperlink"/>
            <w:b/>
            <w:bCs/>
            <w:sz w:val="44"/>
            <w:szCs w:val="44"/>
          </w:rPr>
          <w:t>http://www.swansea.ac.uk/adre/</w:t>
        </w:r>
      </w:hyperlink>
    </w:p>
    <w:p w14:paraId="56306632" w14:textId="1369BF2C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>Jordan S, Prout H, Carter N, Dicomidis J, Hayes J, Round J, Carson-Stevens A. (2021) Nobody ever questions—Polypharmacy in care homes: A mixed methods evaluation of a multidisciplinary medicines optimisation initiative. PLOS ONE 16(1): e0244519. </w:t>
      </w:r>
      <w:r w:rsidR="00000000">
        <w:fldChar w:fldCharType="begin"/>
      </w:r>
      <w:r w:rsidR="00000000">
        <w:instrText>HYPERLINK "https://doi.org/10.1371/journal.pone.0244519"</w:instrText>
      </w:r>
      <w:r w:rsidR="00000000">
        <w:fldChar w:fldCharType="separate"/>
      </w:r>
      <w:r w:rsidRPr="003D2838">
        <w:rPr>
          <w:rStyle w:val="Hyperlink"/>
          <w:rFonts w:ascii="Calibri" w:hAnsi="Calibri" w:cs="Calibri"/>
          <w:lang w:val="pl-PL"/>
        </w:rPr>
        <w:t>https://doi.org/10.1371/journal.pone.0244519</w:t>
      </w:r>
      <w:r w:rsidR="00000000">
        <w:rPr>
          <w:rStyle w:val="Hyperlink"/>
          <w:rFonts w:ascii="Calibri" w:hAnsi="Calibri" w:cs="Calibri"/>
          <w:lang w:val="pl-PL"/>
        </w:rPr>
        <w:fldChar w:fldCharType="end"/>
      </w:r>
    </w:p>
    <w:p w14:paraId="19CD6B67" w14:textId="0028926A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>Jordan,S., Logan,V., Turner,A., &amp; Hughes,D.Using nurse-led patient monitoring to avoid medicines-related harm.</w:t>
      </w:r>
      <w:r w:rsidRPr="003D2838">
        <w:rPr>
          <w:rFonts w:ascii="Calibri" w:hAnsi="Calibri" w:cs="Calibri"/>
          <w:i/>
          <w:iCs/>
          <w:lang w:val="pl-PL"/>
        </w:rPr>
        <w:t>Nursing Standard</w:t>
      </w:r>
      <w:r w:rsidRPr="003D2838">
        <w:rPr>
          <w:rFonts w:ascii="Calibri" w:hAnsi="Calibri" w:cs="Calibri"/>
          <w:lang w:val="pl-PL"/>
        </w:rPr>
        <w:t xml:space="preserve">, doi:10.7748/ns.2021.e11770. 28.6.21 </w:t>
      </w:r>
    </w:p>
    <w:p w14:paraId="789E13B9" w14:textId="05CF57DD" w:rsidR="00A57DB5" w:rsidRPr="003D2838" w:rsidRDefault="00882BB5" w:rsidP="00882BB5">
      <w:pPr>
        <w:spacing w:after="0" w:line="240" w:lineRule="auto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J</w:t>
      </w:r>
      <w:r w:rsidR="00A57DB5" w:rsidRPr="003D2838">
        <w:rPr>
          <w:rFonts w:ascii="Calibri" w:hAnsi="Calibri" w:cs="Calibri"/>
          <w:lang w:val="pl-PL"/>
        </w:rPr>
        <w:t xml:space="preserve">ordan S., Jones E., Komninou S., Loane M., Damase-Michel C. Families need support to reduce the risks of adverse drug reactions from breastfeeding. The Pharmaceutical Journal, PJ, December 2022, Vol 309, No 968;309(7968):: DOI:10.1211/PJ.2022.1.166126 </w:t>
      </w:r>
    </w:p>
    <w:p w14:paraId="6367A115" w14:textId="62EE86A5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>Logan, V., Bamsey, A., Carter, N., Hughes, D., Turner, A. &amp; Jordan, S. (2022). Clinical Impact of Implementing a Nurse-Led Adverse Drug Reaction Profile in Older Adults Prescribed Multiple Medicines in UK Primary Care: A Study Protocol for a Cluster-Randomised Controlled Trial. </w:t>
      </w:r>
      <w:r w:rsidRPr="003D2838">
        <w:rPr>
          <w:rFonts w:ascii="Calibri" w:hAnsi="Calibri" w:cs="Calibri"/>
          <w:i/>
          <w:iCs/>
          <w:lang w:val="pl-PL"/>
        </w:rPr>
        <w:t>Pharmacy</w:t>
      </w:r>
      <w:r w:rsidRPr="003D2838">
        <w:rPr>
          <w:rFonts w:ascii="Calibri" w:hAnsi="Calibri" w:cs="Calibri"/>
          <w:lang w:val="pl-PL"/>
        </w:rPr>
        <w:t>; 10(3):52. </w:t>
      </w:r>
    </w:p>
    <w:p w14:paraId="199B8CA8" w14:textId="73B05961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>Logan, V, Keeley, S, Akerman, K, De Baetselier E, Dilles, T, Griffin N, Matthews L, Van Rompaey B, Jordan S.  Did we do everything we could have? Nurses’ contributions to medicines optimization: A mixed‐methods study. </w:t>
      </w:r>
      <w:r w:rsidRPr="003D2838">
        <w:rPr>
          <w:rFonts w:ascii="Calibri" w:hAnsi="Calibri" w:cs="Calibri"/>
          <w:i/>
          <w:iCs/>
          <w:lang w:val="pl-PL"/>
        </w:rPr>
        <w:t>Nurs Open</w:t>
      </w:r>
      <w:r w:rsidRPr="003D2838">
        <w:rPr>
          <w:rFonts w:ascii="Calibri" w:hAnsi="Calibri" w:cs="Calibri"/>
          <w:lang w:val="pl-PL"/>
        </w:rPr>
        <w:t>. 2021; 8: 592– 606. </w:t>
      </w:r>
      <w:r w:rsidR="00000000">
        <w:fldChar w:fldCharType="begin"/>
      </w:r>
      <w:r w:rsidR="00000000">
        <w:instrText>HYPERLINK "https://doi.org/10.1002/nop2.664"</w:instrText>
      </w:r>
      <w:r w:rsidR="00000000">
        <w:fldChar w:fldCharType="separate"/>
      </w:r>
      <w:r w:rsidRPr="003D2838">
        <w:rPr>
          <w:rStyle w:val="Hyperlink"/>
          <w:rFonts w:ascii="Calibri" w:hAnsi="Calibri" w:cs="Calibri"/>
          <w:lang w:val="pl-PL"/>
        </w:rPr>
        <w:t>https://doi.org/10.1002/nop2.664</w:t>
      </w:r>
      <w:r w:rsidR="00000000">
        <w:rPr>
          <w:rStyle w:val="Hyperlink"/>
          <w:rFonts w:ascii="Calibri" w:hAnsi="Calibri" w:cs="Calibri"/>
          <w:lang w:val="pl-PL"/>
        </w:rPr>
        <w:fldChar w:fldCharType="end"/>
      </w:r>
    </w:p>
    <w:p w14:paraId="7F6FBD54" w14:textId="4F61DE97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>Jordan S, Banner T, Gabe-Walters M., Mikhail J., Panes G., Round J., Snelgrove S., Storey M., Hughes D</w:t>
      </w:r>
      <w:r w:rsidRPr="003D2838">
        <w:rPr>
          <w:rFonts w:ascii="Calibri" w:hAnsi="Calibri" w:cs="Calibri"/>
          <w:lang w:val="fi-FI"/>
        </w:rPr>
        <w:t xml:space="preserve"> for the Medicines Management Group (2019) </w:t>
      </w:r>
      <w:r w:rsidRPr="003D2838">
        <w:rPr>
          <w:rFonts w:ascii="Calibri" w:hAnsi="Calibri" w:cs="Calibri"/>
          <w:lang w:val="pl-PL"/>
        </w:rPr>
        <w:t xml:space="preserve">Nurse-led medicines’ monitoring in care homes, implementing the Adverse Drug Reaction (ADRe) Profile improvement initiative for </w:t>
      </w:r>
      <w:r w:rsidRPr="003D2838">
        <w:rPr>
          <w:rFonts w:ascii="Calibri" w:hAnsi="Calibri" w:cs="Calibri"/>
          <w:lang w:val="pl-PL"/>
        </w:rPr>
        <w:lastRenderedPageBreak/>
        <w:t xml:space="preserve">Mental Health Medicines: an observational and interview study. Plos One. </w:t>
      </w:r>
      <w:r w:rsidRPr="003D2838">
        <w:rPr>
          <w:rFonts w:ascii="Calibri" w:hAnsi="Calibri" w:cs="Calibri"/>
        </w:rPr>
        <w:t xml:space="preserve">14(9): e0220885. </w:t>
      </w:r>
      <w:hyperlink r:id="rId8" w:history="1">
        <w:r w:rsidRPr="003D2838">
          <w:rPr>
            <w:rStyle w:val="Hyperlink"/>
            <w:rFonts w:ascii="Calibri" w:hAnsi="Calibri" w:cs="Calibri"/>
          </w:rPr>
          <w:t>https://doi.org/10.1371/journal.pone.0220885</w:t>
        </w:r>
      </w:hyperlink>
    </w:p>
    <w:p w14:paraId="7CBF3779" w14:textId="575A5984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>Jordan S &amp; Hughes D 2019 Clozapine deaths: monitoring adverse drug reactions. BMJ 2019;364:l482 doi: 10.1136/bmj.l482</w:t>
      </w:r>
    </w:p>
    <w:p w14:paraId="4EC015D1" w14:textId="40290867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>J</w:t>
      </w:r>
      <w:r w:rsidRPr="003D2838">
        <w:rPr>
          <w:rFonts w:ascii="Calibri" w:hAnsi="Calibri" w:cs="Calibri"/>
        </w:rPr>
        <w:t>o</w:t>
      </w:r>
      <w:r w:rsidRPr="003D2838">
        <w:rPr>
          <w:rFonts w:ascii="Calibri" w:hAnsi="Calibri" w:cs="Calibri"/>
          <w:lang w:val="pl-PL"/>
        </w:rPr>
        <w:t xml:space="preserve">rdan S, Gabe-Walters M, Watkins A, Humphreys I, Newson L, Snelgrove S et al. Nurse-Led Medicines' Monitoring for Patients with Dementia in Care Homes: A Pragmatic Cohort Stepped Wedge Cluster Randomised Trial. PLOS ONE. 2015;10(10):e0140203. </w:t>
      </w:r>
    </w:p>
    <w:p w14:paraId="3A11CC51" w14:textId="01341D08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>Jordan S, Banner T, Gabe-Walters M the Medicines Management Group</w:t>
      </w:r>
      <w:r w:rsidRPr="003D2838">
        <w:rPr>
          <w:rFonts w:ascii="Calibri" w:hAnsi="Calibri" w:cs="Calibri"/>
          <w:i/>
          <w:iCs/>
          <w:lang w:val="pl-PL"/>
        </w:rPr>
        <w:t>, et al</w:t>
      </w:r>
      <w:r w:rsidRPr="003D2838">
        <w:rPr>
          <w:rFonts w:ascii="Calibri" w:hAnsi="Calibri" w:cs="Calibri"/>
          <w:lang w:val="pl-PL"/>
        </w:rPr>
        <w:t xml:space="preserve"> Nurse-led medicines’ monitoring in care homes study protocol: a process evaluation of the impact and sustainability of the adverse drug reaction (ADRe) profile for mental health medicines </w:t>
      </w:r>
      <w:r w:rsidRPr="003D2838">
        <w:rPr>
          <w:rFonts w:ascii="Calibri" w:hAnsi="Calibri" w:cs="Calibri"/>
          <w:i/>
          <w:iCs/>
          <w:lang w:val="pl-PL"/>
        </w:rPr>
        <w:t>BMJ Open </w:t>
      </w:r>
      <w:r w:rsidRPr="003D2838">
        <w:rPr>
          <w:rFonts w:ascii="Calibri" w:hAnsi="Calibri" w:cs="Calibri"/>
          <w:lang w:val="pl-PL"/>
        </w:rPr>
        <w:t>2018;</w:t>
      </w:r>
      <w:r w:rsidRPr="003D2838">
        <w:rPr>
          <w:rFonts w:ascii="Calibri" w:hAnsi="Calibri" w:cs="Calibri"/>
          <w:b/>
          <w:bCs/>
          <w:lang w:val="pl-PL"/>
        </w:rPr>
        <w:t>8:</w:t>
      </w:r>
      <w:r w:rsidRPr="003D2838">
        <w:rPr>
          <w:rFonts w:ascii="Calibri" w:hAnsi="Calibri" w:cs="Calibri"/>
          <w:lang w:val="pl-PL"/>
        </w:rPr>
        <w:t xml:space="preserve">e023377. doi: 10.1136/bmjopen-2018-023377 </w:t>
      </w:r>
    </w:p>
    <w:p w14:paraId="66AAF450" w14:textId="77777777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en-US"/>
        </w:rPr>
        <w:t xml:space="preserve">Jordan S. Managing Adverse Drug Reactions: An Orphan Task. Developing Nurse-Administered </w:t>
      </w:r>
      <w:proofErr w:type="gramStart"/>
      <w:r w:rsidRPr="003D2838">
        <w:rPr>
          <w:rFonts w:ascii="Calibri" w:hAnsi="Calibri" w:cs="Calibri"/>
          <w:lang w:val="en-US"/>
        </w:rPr>
        <w:t>Evaluation  Checklists</w:t>
      </w:r>
      <w:proofErr w:type="gramEnd"/>
      <w:r w:rsidRPr="003D2838">
        <w:rPr>
          <w:rFonts w:ascii="Calibri" w:hAnsi="Calibri" w:cs="Calibri"/>
          <w:lang w:val="en-US"/>
        </w:rPr>
        <w:t>  Journal of Advanced Nursing . 2002, 38(5):437-48</w:t>
      </w:r>
    </w:p>
    <w:p w14:paraId="476B9FFE" w14:textId="77777777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 xml:space="preserve">Jordan S, Logan PA, Panes G, Vaismoradi M, Hughes D. Adverse Drug Reactions, Power, Harm Reduction, Regulation and the ADRe Profiles. Pharmacy (Basel). 2018 Sep 18;6(3). pii: E102. doi: 10.3390/pharmacy6030102. PubMed PMID: 30231573. </w:t>
      </w:r>
    </w:p>
    <w:p w14:paraId="06E5A194" w14:textId="77777777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i/>
          <w:iCs/>
          <w:lang w:val="pl-PL"/>
        </w:rPr>
        <w:t xml:space="preserve">Gabe M, Jordan S. Development and clinical gains of nurse-led medication monitoring profiles. J Nurs Manag. 2014;22(3):331-349. </w:t>
      </w:r>
    </w:p>
    <w:p w14:paraId="32745720" w14:textId="77777777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 xml:space="preserve">Gabe M, Murphy F, Davies G, Russell I, Jordan S. Medication Monitoring in a Nurse-Led Respiratory Outpatient Clinic: Pragmatic Randomised Trial of the West Wales Adverse Drug Reaction Profile. PLoS ONE. 2014;9(5):e96682. </w:t>
      </w:r>
      <w:r w:rsidRPr="003D2838">
        <w:rPr>
          <w:rFonts w:ascii="Calibri" w:hAnsi="Calibri" w:cs="Calibri"/>
        </w:rPr>
        <w:t>DOI: 10.1371/journal.pone.0096682</w:t>
      </w:r>
    </w:p>
    <w:p w14:paraId="343F2E7B" w14:textId="77777777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>Jordan S, Hardy B, Coleman M. Medication management: an exploratory study into the role of community mental health nurses. J Adv Nurs. 1999;29(5):1068-1081.</w:t>
      </w:r>
    </w:p>
    <w:p w14:paraId="76E705F0" w14:textId="77777777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>Jordan S, Knight J, Pointon D. Monitoring adverse drug reactions: scales, profiles, and checklists. Int Nurs Rev. 2004;51(4):208-221.</w:t>
      </w:r>
    </w:p>
    <w:p w14:paraId="17DBBF8D" w14:textId="77777777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 xml:space="preserve">Jordan S. and Hughes D. 2000 Community Teamwork is key to monitoring the side effects of medication. </w:t>
      </w:r>
      <w:r w:rsidRPr="003D2838">
        <w:rPr>
          <w:rFonts w:ascii="Calibri" w:hAnsi="Calibri" w:cs="Calibri"/>
          <w:i/>
          <w:iCs/>
          <w:lang w:val="pl-PL"/>
        </w:rPr>
        <w:t>Nursing Times/ BMJ inaugural joint issue</w:t>
      </w:r>
      <w:r w:rsidRPr="003D2838">
        <w:rPr>
          <w:rFonts w:ascii="Calibri" w:hAnsi="Calibri" w:cs="Calibri"/>
          <w:lang w:val="pl-PL"/>
        </w:rPr>
        <w:t xml:space="preserve"> : 96 : 15 : 39-40 </w:t>
      </w:r>
    </w:p>
    <w:p w14:paraId="64504555" w14:textId="77777777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>Hughes, D.; Jordan, M.; Logan, P.A.; Willson, A.; Snelgrove, S.; Storey, M.; Vaismoradi, M.; Jordan, S. Looking for the “Little Things”: A Multi-Disciplinary Approach to Medicines Monitoring for Older People Using the ADRe Resource. </w:t>
      </w:r>
      <w:r w:rsidRPr="003D2838">
        <w:rPr>
          <w:rFonts w:ascii="Calibri" w:hAnsi="Calibri" w:cs="Calibri"/>
          <w:i/>
          <w:iCs/>
          <w:lang w:val="pl-PL"/>
        </w:rPr>
        <w:t>Geriatrics</w:t>
      </w:r>
      <w:r w:rsidRPr="003D2838">
        <w:rPr>
          <w:rFonts w:ascii="Calibri" w:hAnsi="Calibri" w:cs="Calibri"/>
          <w:lang w:val="pl-PL"/>
        </w:rPr>
        <w:t> </w:t>
      </w:r>
      <w:r w:rsidRPr="003D2838">
        <w:rPr>
          <w:rFonts w:ascii="Calibri" w:hAnsi="Calibri" w:cs="Calibri"/>
          <w:b/>
          <w:bCs/>
          <w:lang w:val="pl-PL"/>
        </w:rPr>
        <w:t>2020</w:t>
      </w:r>
      <w:r w:rsidRPr="003D2838">
        <w:rPr>
          <w:rFonts w:ascii="Calibri" w:hAnsi="Calibri" w:cs="Calibri"/>
          <w:lang w:val="pl-PL"/>
        </w:rPr>
        <w:t>, </w:t>
      </w:r>
      <w:r w:rsidRPr="003D2838">
        <w:rPr>
          <w:rFonts w:ascii="Calibri" w:hAnsi="Calibri" w:cs="Calibri"/>
          <w:i/>
          <w:iCs/>
          <w:lang w:val="pl-PL"/>
        </w:rPr>
        <w:t>5</w:t>
      </w:r>
      <w:r w:rsidRPr="003D2838">
        <w:rPr>
          <w:rFonts w:ascii="Calibri" w:hAnsi="Calibri" w:cs="Calibri"/>
          <w:lang w:val="pl-PL"/>
        </w:rPr>
        <w:t xml:space="preserve">, 79. </w:t>
      </w:r>
      <w:r w:rsidR="00000000">
        <w:fldChar w:fldCharType="begin"/>
      </w:r>
      <w:r w:rsidR="00000000">
        <w:instrText>HYPERLINK "https://www.mdpi.com/2308-3417/5/4/79"</w:instrText>
      </w:r>
      <w:r w:rsidR="00000000">
        <w:fldChar w:fldCharType="separate"/>
      </w:r>
      <w:r w:rsidRPr="003D2838">
        <w:rPr>
          <w:rStyle w:val="Hyperlink"/>
          <w:rFonts w:ascii="Calibri" w:hAnsi="Calibri" w:cs="Calibri"/>
          <w:lang w:val="pl-PL"/>
        </w:rPr>
        <w:t>https://www.mdpi.com/2308-3417/5/4/79</w:t>
      </w:r>
      <w:r w:rsidR="00000000">
        <w:rPr>
          <w:rStyle w:val="Hyperlink"/>
          <w:rFonts w:ascii="Calibri" w:hAnsi="Calibri" w:cs="Calibri"/>
          <w:lang w:val="pl-PL"/>
        </w:rPr>
        <w:fldChar w:fldCharType="end"/>
      </w:r>
    </w:p>
    <w:p w14:paraId="7680C829" w14:textId="77777777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 xml:space="preserve">Jones R., Moyle C. Jordan S. (corresponding author) 2016 Nurse-led Medicines Monitoring:  a before and after study to examine the clinical impact of the West Wales Adverse Drug Reaction Profile in a Crisis Resolution Home Treatment service. </w:t>
      </w:r>
      <w:r w:rsidRPr="003D2838">
        <w:rPr>
          <w:rFonts w:ascii="Calibri" w:hAnsi="Calibri" w:cs="Calibri"/>
          <w:i/>
          <w:iCs/>
          <w:lang w:val="pl-PL"/>
        </w:rPr>
        <w:t>Nursing Standard</w:t>
      </w:r>
      <w:r w:rsidRPr="003D2838">
        <w:rPr>
          <w:rFonts w:ascii="Calibri" w:hAnsi="Calibri" w:cs="Calibri"/>
          <w:lang w:val="pl-PL"/>
        </w:rPr>
        <w:t>. 31, 14, 42-53.  doi: 10.7748/ns.2016.e10447</w:t>
      </w:r>
    </w:p>
    <w:p w14:paraId="458BB784" w14:textId="77777777" w:rsidR="00A57DB5" w:rsidRPr="003D2838" w:rsidRDefault="00A57DB5" w:rsidP="00882BB5">
      <w:pPr>
        <w:spacing w:after="0" w:line="240" w:lineRule="auto"/>
        <w:ind w:left="720" w:hanging="720"/>
        <w:rPr>
          <w:rFonts w:ascii="Calibri" w:hAnsi="Calibri" w:cs="Calibri"/>
        </w:rPr>
      </w:pPr>
      <w:r w:rsidRPr="003D2838">
        <w:rPr>
          <w:rFonts w:ascii="Calibri" w:hAnsi="Calibri" w:cs="Calibri"/>
          <w:lang w:val="pl-PL"/>
        </w:rPr>
        <w:t xml:space="preserve">Jordan S, Gabe M, Newson L, Snelgrove S, Panes G, Picek A, Russell IT, Dennis M. (2014) "Medication Monitoring for People with Dementia in Care Homes:  the Feasibility and Clinical Impact of Nurse-led monitoring," The Scientific World Journal, vol. 2014, Article ID 843621, 11 pages, 2014. doi:10.1155/2014/843621. </w:t>
      </w:r>
    </w:p>
    <w:p w14:paraId="2B077B29" w14:textId="43ACCA8E" w:rsidR="007B7A7B" w:rsidRDefault="00C02CDD" w:rsidP="00173BD8">
      <w:pPr>
        <w:pStyle w:val="Heading2"/>
      </w:pPr>
      <w:r>
        <w:t>References and Bibliography</w:t>
      </w:r>
    </w:p>
    <w:p w14:paraId="01162DA7" w14:textId="77777777" w:rsidR="008C3CAE" w:rsidRPr="008C3CAE" w:rsidRDefault="008C3CAE" w:rsidP="00173BD8">
      <w:pPr>
        <w:spacing w:after="0" w:line="240" w:lineRule="auto"/>
        <w:ind w:left="1077" w:hanging="720"/>
      </w:pPr>
      <w:r w:rsidRPr="008C3CAE">
        <w:rPr>
          <w:highlight w:val="white"/>
        </w:rPr>
        <w:t xml:space="preserve">Beijer HJ, de Blaey CJ. Hospitalisations caused by adverse drug reactions (ADR): a meta-analysis of observational studies. Pharm World Sci. 2002 Apr;24(2):46-54. doi: 10.1023/a:1015570104121. PMID: 12061133. </w:t>
      </w:r>
    </w:p>
    <w:p w14:paraId="4AE2001D" w14:textId="77777777" w:rsidR="00973446" w:rsidRPr="00973446" w:rsidRDefault="00973446" w:rsidP="00173BD8">
      <w:pPr>
        <w:spacing w:after="0" w:line="240" w:lineRule="auto"/>
        <w:ind w:left="1077" w:hanging="720"/>
      </w:pPr>
      <w:r w:rsidRPr="00973446">
        <w:rPr>
          <w:highlight w:val="white"/>
        </w:rPr>
        <w:lastRenderedPageBreak/>
        <w:t>Brøgger-Mikkelsen M, Zibert JR, Andersen AD, Lassen U, Hædersdal M, Ali Z, Thomsen SF. Changes in key recruitment performance metrics from 2008-2019 in industry-sponsored phase III clinical trials registered at ClinicalTrials.gov. PLoS One. 2022 Jul 26;17(7</w:t>
      </w:r>
      <w:proofErr w:type="gramStart"/>
      <w:r w:rsidRPr="00973446">
        <w:rPr>
          <w:highlight w:val="white"/>
        </w:rPr>
        <w:t>):e</w:t>
      </w:r>
      <w:proofErr w:type="gramEnd"/>
      <w:r w:rsidRPr="00973446">
        <w:rPr>
          <w:highlight w:val="white"/>
        </w:rPr>
        <w:t>0271819. doi: 10.1371/journal.pone.0271819. PMID: 35881593; PMCID: PMC9321424.</w:t>
      </w:r>
      <w:r w:rsidRPr="00973446">
        <w:t xml:space="preserve"> </w:t>
      </w:r>
    </w:p>
    <w:p w14:paraId="5B2B24F6" w14:textId="77777777" w:rsidR="008C3CAE" w:rsidRPr="008C3CAE" w:rsidRDefault="008C3CAE" w:rsidP="00173BD8">
      <w:pPr>
        <w:spacing w:after="0" w:line="240" w:lineRule="auto"/>
        <w:ind w:left="1077" w:hanging="720"/>
      </w:pPr>
      <w:r w:rsidRPr="008C3CAE">
        <w:rPr>
          <w:lang w:val="en-US"/>
        </w:rPr>
        <w:t xml:space="preserve"> Davies, J., Cooper, R. E., Moncrieff, J., Montagu, L., Rae, T., &amp; Parhi, M. (2022). The costs incurred by the NHS in England due to the unnecessary prescribing of dependency-forming medications. </w:t>
      </w:r>
      <w:r w:rsidRPr="008C3CAE">
        <w:rPr>
          <w:i/>
          <w:iCs/>
          <w:lang w:val="en-US"/>
        </w:rPr>
        <w:t>Addictive Behaviors, 125</w:t>
      </w:r>
      <w:r w:rsidRPr="008C3CAE">
        <w:rPr>
          <w:lang w:val="en-US"/>
        </w:rPr>
        <w:t xml:space="preserve">, 107143–107143. </w:t>
      </w:r>
      <w:hyperlink r:id="rId9" w:history="1">
        <w:r w:rsidRPr="008C3CAE">
          <w:rPr>
            <w:rStyle w:val="Hyperlink"/>
            <w:lang w:val="en-US"/>
          </w:rPr>
          <w:t>https://doi.org/10.1016/j.addbeh.2021.107143</w:t>
        </w:r>
      </w:hyperlink>
    </w:p>
    <w:p w14:paraId="2135E12A" w14:textId="77777777" w:rsidR="008C3CAE" w:rsidRPr="008C3CAE" w:rsidRDefault="008C3CAE" w:rsidP="00173BD8">
      <w:pPr>
        <w:spacing w:after="0" w:line="240" w:lineRule="auto"/>
        <w:ind w:left="1077" w:hanging="720"/>
      </w:pPr>
      <w:r w:rsidRPr="008C3CAE">
        <w:rPr>
          <w:lang w:val="en-US"/>
        </w:rPr>
        <w:t xml:space="preserve">  Elliott, R. A., Camacho, E., Jankovic, D., Sculpher, M. J., &amp; Faria, R. (2021). Economic analysis of the prevalence and clinical and economic burden of medication error in England. </w:t>
      </w:r>
      <w:r w:rsidRPr="008C3CAE">
        <w:rPr>
          <w:i/>
          <w:iCs/>
          <w:lang w:val="en-US"/>
        </w:rPr>
        <w:t>BMJ Quality &amp; Safety, 30</w:t>
      </w:r>
      <w:r w:rsidRPr="008C3CAE">
        <w:rPr>
          <w:lang w:val="en-US"/>
        </w:rPr>
        <w:t xml:space="preserve">(2), 96–105. </w:t>
      </w:r>
      <w:hyperlink r:id="rId10" w:history="1">
        <w:r w:rsidRPr="008C3CAE">
          <w:rPr>
            <w:rStyle w:val="Hyperlink"/>
            <w:lang w:val="en-US"/>
          </w:rPr>
          <w:t>https://doi.org/10.1136/bmjqs-2019-010206</w:t>
        </w:r>
      </w:hyperlink>
    </w:p>
    <w:p w14:paraId="2B0BBC09" w14:textId="77777777" w:rsidR="008C3CAE" w:rsidRPr="008C3CAE" w:rsidRDefault="008C3CAE" w:rsidP="00173BD8">
      <w:pPr>
        <w:spacing w:after="0" w:line="240" w:lineRule="auto"/>
        <w:ind w:left="1077" w:hanging="720"/>
      </w:pPr>
      <w:r w:rsidRPr="008C3CAE">
        <w:rPr>
          <w:u w:val="single"/>
          <w:lang w:val="en-US"/>
        </w:rPr>
        <w:t xml:space="preserve">Formica, D., Sultana, J., Cutroneo, P.M., Lucchesi, S., Angelica, R., Crisafulli, S., Ingrasciotta, Y., Salvo, F., Spina, E. &amp; Trifiro, G. (2018) The economic burden of preventable adverse drug reactions: a systematic review of observational studies. </w:t>
      </w:r>
      <w:r w:rsidRPr="008C3CAE">
        <w:rPr>
          <w:i/>
          <w:iCs/>
          <w:u w:val="single"/>
          <w:lang w:val="en-US"/>
        </w:rPr>
        <w:t xml:space="preserve">Expert Opinion on Drug Safety. 17 </w:t>
      </w:r>
      <w:r w:rsidRPr="008C3CAE">
        <w:rPr>
          <w:u w:val="single"/>
          <w:lang w:val="en-US"/>
        </w:rPr>
        <w:t xml:space="preserve">(7). 681-695. https://doi.org/10.1080/14740338.2018.1491547 </w:t>
      </w:r>
    </w:p>
    <w:p w14:paraId="7C396C73" w14:textId="77777777" w:rsidR="008C3CAE" w:rsidRPr="008C3CAE" w:rsidRDefault="008C3CAE" w:rsidP="00173BD8">
      <w:pPr>
        <w:spacing w:after="0" w:line="240" w:lineRule="auto"/>
        <w:ind w:left="1077" w:hanging="720"/>
      </w:pPr>
      <w:r w:rsidRPr="008C3CAE">
        <w:t xml:space="preserve">Gurwitz JH, Field TS, Harrold LR </w:t>
      </w:r>
      <w:r w:rsidRPr="008C3CAE">
        <w:rPr>
          <w:i/>
          <w:iCs/>
        </w:rPr>
        <w:t>et al</w:t>
      </w:r>
      <w:r w:rsidRPr="008C3CAE">
        <w:t xml:space="preserve"> (2003) Incidence and preventability of adverse drug events among older persons in the ambulatory setting. </w:t>
      </w:r>
      <w:r w:rsidRPr="008C3CAE">
        <w:rPr>
          <w:i/>
          <w:iCs/>
        </w:rPr>
        <w:t>Journal of the American Medical Association.</w:t>
      </w:r>
      <w:r w:rsidRPr="008C3CAE">
        <w:t xml:space="preserve"> 289, 9, 1107-1116. </w:t>
      </w:r>
    </w:p>
    <w:p w14:paraId="5ECC1884" w14:textId="77777777" w:rsidR="00AC613B" w:rsidRDefault="008C3CAE" w:rsidP="00AC613B">
      <w:pPr>
        <w:spacing w:after="0" w:line="240" w:lineRule="auto"/>
        <w:ind w:left="1077" w:hanging="720"/>
        <w:rPr>
          <w:rStyle w:val="Hyperlink"/>
          <w:lang w:val="en-US"/>
        </w:rPr>
      </w:pPr>
      <w:r w:rsidRPr="008C3CAE">
        <w:rPr>
          <w:lang w:val="en-US"/>
        </w:rPr>
        <w:t xml:space="preserve"> Hazell, L., &amp; Shakir, S. </w:t>
      </w:r>
      <w:proofErr w:type="gramStart"/>
      <w:r w:rsidRPr="008C3CAE">
        <w:rPr>
          <w:lang w:val="en-US"/>
        </w:rPr>
        <w:t>A. .</w:t>
      </w:r>
      <w:proofErr w:type="gramEnd"/>
      <w:r w:rsidRPr="008C3CAE">
        <w:rPr>
          <w:lang w:val="en-US"/>
        </w:rPr>
        <w:t xml:space="preserve"> (2006). Under-Reporting of Adverse Drug Reactions: A Systematic Review. </w:t>
      </w:r>
      <w:r w:rsidRPr="008C3CAE">
        <w:rPr>
          <w:i/>
          <w:iCs/>
          <w:lang w:val="en-US"/>
        </w:rPr>
        <w:t>Drug Safety, 29</w:t>
      </w:r>
      <w:r w:rsidRPr="008C3CAE">
        <w:rPr>
          <w:lang w:val="en-US"/>
        </w:rPr>
        <w:t xml:space="preserve">(5), 385–396. </w:t>
      </w:r>
      <w:hyperlink r:id="rId11" w:history="1">
        <w:r w:rsidRPr="008C3CAE">
          <w:rPr>
            <w:rStyle w:val="Hyperlink"/>
            <w:lang w:val="en-US"/>
          </w:rPr>
          <w:t>https://doi.org/10.2165/00002018-200629050-00003</w:t>
        </w:r>
      </w:hyperlink>
    </w:p>
    <w:p w14:paraId="45A80705" w14:textId="3ABC245F" w:rsidR="00745CB1" w:rsidRPr="00AC613B" w:rsidRDefault="00745CB1" w:rsidP="00AC613B">
      <w:pPr>
        <w:spacing w:after="0" w:line="240" w:lineRule="auto"/>
        <w:ind w:left="1077" w:hanging="720"/>
        <w:rPr>
          <w:color w:val="467886" w:themeColor="hyperlink"/>
          <w:u w:val="single"/>
          <w:lang w:val="en-US"/>
        </w:rPr>
      </w:pPr>
      <w:r>
        <w:t xml:space="preserve">Health Foundation 2024 Health Care Funding </w:t>
      </w:r>
      <w:hyperlink r:id="rId12" w:anchor=":~:text=Planned%20NHS%20England%20RDEL%20in,small%20increase%20of%200.2%25" w:history="1">
        <w:r w:rsidRPr="005A2AA8">
          <w:rPr>
            <w:rStyle w:val="Hyperlink"/>
          </w:rPr>
          <w:t>https://www.health.org.uk/publications/long-reads/health-care-funding#:~:text=Planned%20NHS%20England%20RDEL%20in,small%20increase%20of%200.2%25</w:t>
        </w:r>
      </w:hyperlink>
      <w:r w:rsidRPr="0068406F">
        <w:t>).</w:t>
      </w:r>
      <w:r>
        <w:t xml:space="preserve"> Accessed 8.7.24 </w:t>
      </w:r>
    </w:p>
    <w:p w14:paraId="71380728" w14:textId="77777777" w:rsidR="008C3CAE" w:rsidRPr="008C3CAE" w:rsidRDefault="008C3CAE" w:rsidP="00173BD8">
      <w:pPr>
        <w:spacing w:after="0" w:line="240" w:lineRule="auto"/>
        <w:ind w:left="1077" w:hanging="720"/>
      </w:pPr>
      <w:r w:rsidRPr="008C3CAE">
        <w:t xml:space="preserve">Howard RL, Avery AJ, Howard PD, Partridge M (2003) Investigation into the reasons for preventable drug related admissions to a medical admissions’ unit: observational study. </w:t>
      </w:r>
      <w:r w:rsidRPr="008C3CAE">
        <w:rPr>
          <w:i/>
          <w:iCs/>
        </w:rPr>
        <w:t>Quality and Safety in Health Care.</w:t>
      </w:r>
      <w:r w:rsidRPr="008C3CAE">
        <w:t xml:space="preserve"> 12, 4, 280-285. </w:t>
      </w:r>
    </w:p>
    <w:p w14:paraId="2B5F7532" w14:textId="77777777" w:rsidR="00B26CBB" w:rsidRDefault="008C3CAE" w:rsidP="00B26CBB">
      <w:pPr>
        <w:spacing w:after="0" w:line="240" w:lineRule="auto"/>
        <w:ind w:left="1077" w:hanging="720"/>
      </w:pPr>
      <w:r w:rsidRPr="008C3CAE">
        <w:rPr>
          <w:highlight w:val="white"/>
        </w:rPr>
        <w:t xml:space="preserve">King’s Fund </w:t>
      </w:r>
      <w:hyperlink r:id="rId13" w:history="1">
        <w:r w:rsidRPr="008C3CAE">
          <w:rPr>
            <w:rStyle w:val="Hyperlink"/>
            <w:highlight w:val="white"/>
          </w:rPr>
          <w:t>https://www.kingsfund.org.uk/insight-and-analysis/data-and-charts/nhs-budget-nutshell accessed 1.7.24</w:t>
        </w:r>
      </w:hyperlink>
      <w:r w:rsidR="00B26CBB">
        <w:t xml:space="preserve"> </w:t>
      </w:r>
    </w:p>
    <w:p w14:paraId="3A4FE2AE" w14:textId="71642EAC" w:rsidR="00B26CBB" w:rsidRPr="000C5712" w:rsidRDefault="00B26CBB" w:rsidP="00B26CBB">
      <w:pPr>
        <w:spacing w:after="0" w:line="240" w:lineRule="auto"/>
        <w:ind w:left="1077" w:hanging="720"/>
      </w:pPr>
      <w:r w:rsidRPr="000C5712">
        <w:t>NHS Resolution. Annual report and accounts 2022-23. July 2023. </w:t>
      </w:r>
      <w:hyperlink r:id="rId14" w:history="1">
        <w:r w:rsidRPr="000C5712">
          <w:rPr>
            <w:rStyle w:val="Hyperlink"/>
          </w:rPr>
          <w:t>https://resolution.nhs.uk/wp-content/uploads/2023/07/NHS-Resolution-Annual-report-and-accounts-2022_23-3.pdf</w:t>
        </w:r>
      </w:hyperlink>
      <w:r w:rsidRPr="000C5712">
        <w:t>.</w:t>
      </w:r>
    </w:p>
    <w:p w14:paraId="3ABE4792" w14:textId="77777777" w:rsidR="00973446" w:rsidRPr="00973446" w:rsidRDefault="00973446" w:rsidP="00173BD8">
      <w:pPr>
        <w:spacing w:after="0" w:line="240" w:lineRule="auto"/>
        <w:ind w:left="1077" w:hanging="720"/>
      </w:pPr>
      <w:r w:rsidRPr="00973446">
        <w:t>NICE Medicines &amp; Prescribing Centre 2015 Medicines optimisation: the safe and effective use of medicines to enable the best possible outcomes. NICE guideline 5. NICE, London.</w:t>
      </w:r>
      <w:hyperlink r:id="rId15" w:history="1">
        <w:r w:rsidRPr="00973446">
          <w:rPr>
            <w:rStyle w:val="Hyperlink"/>
          </w:rPr>
          <w:t>http://www.nice.org.uk/guidance/ng5/evidence/full-guideline-6775454</w:t>
        </w:r>
      </w:hyperlink>
    </w:p>
    <w:p w14:paraId="30CC6E6D" w14:textId="77777777" w:rsidR="008C3CAE" w:rsidRPr="008C3CAE" w:rsidRDefault="008C3CAE" w:rsidP="00173BD8">
      <w:pPr>
        <w:spacing w:after="0" w:line="240" w:lineRule="auto"/>
        <w:ind w:left="1077" w:hanging="720"/>
      </w:pPr>
      <w:r w:rsidRPr="008C3CAE">
        <w:rPr>
          <w:highlight w:val="white"/>
        </w:rPr>
        <w:t>Osanlou R, Walker L, Hughes DA, Burnside G, Pirmohamed M. Adverse drug reactions, multimorbidity and polypharmacy: a prospective analysis of 1 month of medical admissions. BMJ Open. 2022 Jul 4;12(7</w:t>
      </w:r>
      <w:proofErr w:type="gramStart"/>
      <w:r w:rsidRPr="008C3CAE">
        <w:rPr>
          <w:highlight w:val="white"/>
        </w:rPr>
        <w:t>):e</w:t>
      </w:r>
      <w:proofErr w:type="gramEnd"/>
      <w:r w:rsidRPr="008C3CAE">
        <w:rPr>
          <w:highlight w:val="white"/>
        </w:rPr>
        <w:t>055551. doi: 10.1136/bmjopen-2021-055551. PMID: 35788071; PMCID: PMC9255409.</w:t>
      </w:r>
    </w:p>
    <w:p w14:paraId="2DB522E4" w14:textId="77777777" w:rsidR="00973446" w:rsidRPr="00973446" w:rsidRDefault="00973446" w:rsidP="00173BD8">
      <w:pPr>
        <w:spacing w:after="0" w:line="240" w:lineRule="auto"/>
        <w:ind w:left="1077" w:hanging="720"/>
      </w:pPr>
      <w:r w:rsidRPr="00973446">
        <w:rPr>
          <w:lang w:val="en-US"/>
        </w:rPr>
        <w:t xml:space="preserve"> Oscanoa, T. J., Lizaraso, F., &amp; Carvajal, A. (2017). Hospital admissions due to adverse drug reactions in the elderly. A meta-analysis. European Journal of Clinical </w:t>
      </w:r>
      <w:r w:rsidRPr="00973446">
        <w:rPr>
          <w:i/>
          <w:iCs/>
          <w:lang w:val="en-US"/>
        </w:rPr>
        <w:t>Pharmacology, 73</w:t>
      </w:r>
      <w:r w:rsidRPr="00973446">
        <w:rPr>
          <w:lang w:val="en-US"/>
        </w:rPr>
        <w:t>(6), 759–770. https://doi.org/10.1007/s00228-017-2225-3</w:t>
      </w:r>
    </w:p>
    <w:p w14:paraId="19084FC2" w14:textId="77777777" w:rsidR="008C3CAE" w:rsidRPr="008C3CAE" w:rsidRDefault="008C3CAE" w:rsidP="00173BD8">
      <w:pPr>
        <w:spacing w:after="0" w:line="240" w:lineRule="auto"/>
        <w:ind w:left="1077" w:hanging="720"/>
      </w:pPr>
      <w:r w:rsidRPr="008C3CAE">
        <w:lastRenderedPageBreak/>
        <w:t xml:space="preserve">Pirmohamed M, James S, Meakin S </w:t>
      </w:r>
      <w:r w:rsidRPr="008C3CAE">
        <w:rPr>
          <w:i/>
          <w:iCs/>
        </w:rPr>
        <w:t>et al</w:t>
      </w:r>
      <w:r w:rsidRPr="008C3CAE">
        <w:t xml:space="preserve"> (2004) Adverse drug reactions as cause of admission to hospital: prospective analysis of 18,820 patients. </w:t>
      </w:r>
      <w:r w:rsidRPr="008C3CAE">
        <w:rPr>
          <w:i/>
          <w:iCs/>
        </w:rPr>
        <w:t>British Medical Journal.</w:t>
      </w:r>
      <w:r w:rsidRPr="008C3CAE">
        <w:t xml:space="preserve"> 329, 7456, 15-19. </w:t>
      </w:r>
    </w:p>
    <w:p w14:paraId="6EE89187" w14:textId="77777777" w:rsidR="00973446" w:rsidRPr="00973446" w:rsidRDefault="00973446" w:rsidP="00173BD8">
      <w:pPr>
        <w:spacing w:after="0" w:line="240" w:lineRule="auto"/>
        <w:ind w:left="1077" w:hanging="720"/>
      </w:pPr>
      <w:r w:rsidRPr="00973446">
        <w:rPr>
          <w:lang w:val="en-US"/>
        </w:rPr>
        <w:t xml:space="preserve"> Robinson, E. G., Hedna, K., Hakkarainen, K. M., &amp; Gyllensten, H. (2022). Healthcare costs of adverse drug reactions and potentially inappropriate prescribing in older adults: a population-based study. </w:t>
      </w:r>
      <w:r w:rsidRPr="00973446">
        <w:rPr>
          <w:i/>
          <w:iCs/>
          <w:lang w:val="en-US"/>
        </w:rPr>
        <w:t>BMJ Open, 12</w:t>
      </w:r>
      <w:r w:rsidRPr="00973446">
        <w:rPr>
          <w:lang w:val="en-US"/>
        </w:rPr>
        <w:t xml:space="preserve">(9), e062589–e062589. </w:t>
      </w:r>
      <w:hyperlink r:id="rId16" w:history="1">
        <w:r w:rsidRPr="00973446">
          <w:rPr>
            <w:rStyle w:val="Hyperlink"/>
            <w:lang w:val="en-US"/>
          </w:rPr>
          <w:t>https://doi.org/10.1136/bmjopen-2022-062589</w:t>
        </w:r>
      </w:hyperlink>
    </w:p>
    <w:p w14:paraId="6B23CFE4" w14:textId="77777777" w:rsidR="008C3CAE" w:rsidRPr="008C3CAE" w:rsidRDefault="008C3CAE" w:rsidP="00173BD8">
      <w:pPr>
        <w:spacing w:after="0" w:line="240" w:lineRule="auto"/>
        <w:ind w:left="1077" w:hanging="720"/>
      </w:pPr>
      <w:r w:rsidRPr="008C3CAE">
        <w:rPr>
          <w:lang w:val="en-US"/>
        </w:rPr>
        <w:t xml:space="preserve"> Shuttleworth, P., Baker, J., &amp; Clark, E. (2023). Under-reporting of gastrointestinal bleeding associated with anticoagulant use using the UK Yellow Card Scheme. </w:t>
      </w:r>
      <w:r w:rsidRPr="008C3CAE">
        <w:rPr>
          <w:i/>
          <w:iCs/>
          <w:lang w:val="en-US"/>
        </w:rPr>
        <w:t>International Journal of Clinical Pharmacy, 45</w:t>
      </w:r>
      <w:r w:rsidRPr="008C3CAE">
        <w:rPr>
          <w:lang w:val="en-US"/>
        </w:rPr>
        <w:t xml:space="preserve">(4), 1014–1018. </w:t>
      </w:r>
      <w:hyperlink r:id="rId17" w:history="1">
        <w:r w:rsidRPr="008C3CAE">
          <w:rPr>
            <w:rStyle w:val="Hyperlink"/>
            <w:lang w:val="en-US"/>
          </w:rPr>
          <w:t>https://doi.org/10.1007/s11096-023-01601-0</w:t>
        </w:r>
      </w:hyperlink>
    </w:p>
    <w:p w14:paraId="57EB54BD" w14:textId="77777777" w:rsidR="00973446" w:rsidRPr="00973446" w:rsidRDefault="00973446" w:rsidP="00173BD8">
      <w:pPr>
        <w:spacing w:after="0" w:line="240" w:lineRule="auto"/>
        <w:ind w:left="1077" w:hanging="720"/>
      </w:pPr>
      <w:r w:rsidRPr="00973446">
        <w:rPr>
          <w:highlight w:val="white"/>
          <w:lang w:val="en-US"/>
        </w:rPr>
        <w:t xml:space="preserve">WHO (World Health Organisation). (2022). </w:t>
      </w:r>
      <w:r w:rsidRPr="00973446">
        <w:rPr>
          <w:i/>
          <w:iCs/>
          <w:highlight w:val="white"/>
          <w:lang w:val="en-US"/>
        </w:rPr>
        <w:t>The Third Global Patient Safety Challenge.</w:t>
      </w:r>
      <w:r w:rsidRPr="00973446">
        <w:rPr>
          <w:highlight w:val="white"/>
          <w:lang w:val="en-US"/>
        </w:rPr>
        <w:t xml:space="preserve"> Retrieved September 20, 2023, from </w:t>
      </w:r>
      <w:hyperlink r:id="rId18" w:history="1">
        <w:r w:rsidRPr="00973446">
          <w:rPr>
            <w:rStyle w:val="Hyperlink"/>
            <w:highlight w:val="white"/>
            <w:lang w:val="en-US"/>
          </w:rPr>
          <w:t>https://www.pslhub.org/learn/organisations-linked-to-patient-safety-uk-and-beyond/international-patient-safety/who/the-third-who-global-patient-safety-challenge-medication-without-harm-r7406/</w:t>
        </w:r>
      </w:hyperlink>
      <w:r w:rsidRPr="00973446">
        <w:rPr>
          <w:highlight w:val="white"/>
          <w:lang w:val="en-US"/>
        </w:rPr>
        <w:t xml:space="preserve">  </w:t>
      </w:r>
    </w:p>
    <w:p w14:paraId="7A1EBAB0" w14:textId="77777777" w:rsidR="00973446" w:rsidRPr="00973446" w:rsidRDefault="00173BD8" w:rsidP="00173BD8">
      <w:pPr>
        <w:spacing w:after="0" w:line="240" w:lineRule="auto"/>
        <w:ind w:left="1077" w:hanging="720"/>
      </w:pPr>
      <w:r>
        <w:t xml:space="preserve">WHO / </w:t>
      </w:r>
      <w:r w:rsidR="00973446" w:rsidRPr="00973446">
        <w:t>World Health Organization. (‎2019)‎. Medication safety in polypharmacy: technical report. World Health Organization. </w:t>
      </w:r>
      <w:hyperlink r:id="rId19" w:history="1">
        <w:r w:rsidR="00973446" w:rsidRPr="00973446">
          <w:rPr>
            <w:rStyle w:val="Hyperlink"/>
          </w:rPr>
          <w:t>https://apps.who.int/iris/handle/10665/325454</w:t>
        </w:r>
      </w:hyperlink>
      <w:r w:rsidR="00973446" w:rsidRPr="00973446">
        <w:t>.</w:t>
      </w:r>
    </w:p>
    <w:p w14:paraId="07ECDE96" w14:textId="77777777" w:rsidR="00973446" w:rsidRPr="00973446" w:rsidRDefault="00973446" w:rsidP="00173BD8">
      <w:pPr>
        <w:spacing w:after="0" w:line="240" w:lineRule="auto"/>
        <w:ind w:left="1077" w:hanging="720"/>
      </w:pPr>
      <w:r w:rsidRPr="00973446">
        <w:t xml:space="preserve">WHO 2023 Medication without harm: policy brief. Geneva: World Health Organization; 2023. Licence: CC BY-NC-SA 3.0 IGO. </w:t>
      </w:r>
      <w:hyperlink r:id="rId20" w:history="1">
        <w:r w:rsidRPr="00973446">
          <w:rPr>
            <w:rStyle w:val="Hyperlink"/>
          </w:rPr>
          <w:t>https://iris.who.int/bitstream/handle/10665/376212/9789240062764-eng.pdf?sequence=1</w:t>
        </w:r>
      </w:hyperlink>
    </w:p>
    <w:p w14:paraId="70C8832E" w14:textId="77777777" w:rsidR="00C02CDD" w:rsidRDefault="00C02CDD"/>
    <w:sectPr w:rsidR="00C02CDD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44740" w14:textId="77777777" w:rsidR="0021149B" w:rsidRDefault="0021149B" w:rsidP="000508EB">
      <w:pPr>
        <w:spacing w:after="0" w:line="240" w:lineRule="auto"/>
      </w:pPr>
      <w:r>
        <w:separator/>
      </w:r>
    </w:p>
  </w:endnote>
  <w:endnote w:type="continuationSeparator" w:id="0">
    <w:p w14:paraId="2C8279DC" w14:textId="77777777" w:rsidR="0021149B" w:rsidRDefault="0021149B" w:rsidP="0005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7670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0D180" w14:textId="7685633B" w:rsidR="00B0359D" w:rsidRDefault="00B035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3EBD0E" w14:textId="77777777" w:rsidR="00B0359D" w:rsidRDefault="00B03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E7E71" w14:textId="77777777" w:rsidR="0021149B" w:rsidRDefault="0021149B" w:rsidP="000508EB">
      <w:pPr>
        <w:spacing w:after="0" w:line="240" w:lineRule="auto"/>
      </w:pPr>
      <w:r>
        <w:separator/>
      </w:r>
    </w:p>
  </w:footnote>
  <w:footnote w:type="continuationSeparator" w:id="0">
    <w:p w14:paraId="62B5BBF0" w14:textId="77777777" w:rsidR="0021149B" w:rsidRDefault="0021149B" w:rsidP="0005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69238" w14:textId="14A763C4" w:rsidR="000508EB" w:rsidRDefault="002F791B">
    <w:pPr>
      <w:pStyle w:val="Header"/>
    </w:pPr>
    <w:r w:rsidRPr="000508EB">
      <w:rPr>
        <w:noProof/>
      </w:rPr>
      <w:drawing>
        <wp:anchor distT="0" distB="0" distL="114300" distR="114300" simplePos="0" relativeHeight="251658240" behindDoc="0" locked="0" layoutInCell="1" allowOverlap="1" wp14:anchorId="116FF92E" wp14:editId="43467A5B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28265" cy="1819275"/>
          <wp:effectExtent l="0" t="0" r="635" b="9525"/>
          <wp:wrapSquare wrapText="bothSides"/>
          <wp:docPr id="11" name="Picture 10" descr="A green circles with whit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B68D667-A9E9-8989-8433-3D62CE2E4B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green circles with white text&#10;&#10;Description automatically generated">
                    <a:extLst>
                      <a:ext uri="{FF2B5EF4-FFF2-40B4-BE49-F238E27FC236}">
                        <a16:creationId xmlns:a16="http://schemas.microsoft.com/office/drawing/2014/main" id="{5B68D667-A9E9-8989-8433-3D62CE2E4B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1648" cy="182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08EB">
      <w:rPr>
        <w:noProof/>
      </w:rPr>
      <w:drawing>
        <wp:anchor distT="0" distB="0" distL="114300" distR="114300" simplePos="0" relativeHeight="251660288" behindDoc="0" locked="0" layoutInCell="1" allowOverlap="1" wp14:anchorId="75512829" wp14:editId="6D0BE269">
          <wp:simplePos x="0" y="0"/>
          <wp:positionH relativeFrom="column">
            <wp:posOffset>1733550</wp:posOffset>
          </wp:positionH>
          <wp:positionV relativeFrom="paragraph">
            <wp:posOffset>-373380</wp:posOffset>
          </wp:positionV>
          <wp:extent cx="2743200" cy="1704975"/>
          <wp:effectExtent l="0" t="0" r="0" b="9525"/>
          <wp:wrapSquare wrapText="bothSides"/>
          <wp:docPr id="2" name="Picture 1" descr="A medical symbol with wings and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215A5E-BAD1-CB5E-00CB-FDC69D3679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medical symbol with wings and text&#10;&#10;Description automatically generated">
                    <a:extLst>
                      <a:ext uri="{FF2B5EF4-FFF2-40B4-BE49-F238E27FC236}">
                        <a16:creationId xmlns:a16="http://schemas.microsoft.com/office/drawing/2014/main" id="{90215A5E-BAD1-CB5E-00CB-FDC69D3679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8EB" w:rsidRPr="000508EB">
      <w:rPr>
        <w:noProof/>
      </w:rPr>
      <w:drawing>
        <wp:anchor distT="0" distB="0" distL="114300" distR="114300" simplePos="0" relativeHeight="251659264" behindDoc="0" locked="0" layoutInCell="1" allowOverlap="1" wp14:anchorId="2DDE0CC6" wp14:editId="4F843A44">
          <wp:simplePos x="0" y="0"/>
          <wp:positionH relativeFrom="column">
            <wp:posOffset>4400550</wp:posOffset>
          </wp:positionH>
          <wp:positionV relativeFrom="paragraph">
            <wp:posOffset>-449580</wp:posOffset>
          </wp:positionV>
          <wp:extent cx="2228850" cy="1400175"/>
          <wp:effectExtent l="0" t="0" r="0" b="9525"/>
          <wp:wrapSquare wrapText="bothSides"/>
          <wp:docPr id="6" name="Picture 5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logo of a university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8EB">
      <w:ptab w:relativeTo="margin" w:alignment="center" w:leader="none"/>
    </w:r>
    <w:r w:rsidR="000508E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765C"/>
    <w:multiLevelType w:val="hybridMultilevel"/>
    <w:tmpl w:val="E8CCA042"/>
    <w:lvl w:ilvl="0" w:tplc="778CA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2EF2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69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41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2A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0E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0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47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E7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C34C0E"/>
    <w:multiLevelType w:val="hybridMultilevel"/>
    <w:tmpl w:val="115A1892"/>
    <w:lvl w:ilvl="0" w:tplc="EE2A5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C6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3622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92F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FC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80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903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0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02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44234E"/>
    <w:multiLevelType w:val="hybridMultilevel"/>
    <w:tmpl w:val="58308E4E"/>
    <w:lvl w:ilvl="0" w:tplc="BE50B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A8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E3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6D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ACE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8C5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45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6A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63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B70BA9"/>
    <w:multiLevelType w:val="hybridMultilevel"/>
    <w:tmpl w:val="FBC2E664"/>
    <w:lvl w:ilvl="0" w:tplc="3BC43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362C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A2AD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0AC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81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7EA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A6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82C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C497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769E2"/>
    <w:multiLevelType w:val="hybridMultilevel"/>
    <w:tmpl w:val="9D0C6380"/>
    <w:lvl w:ilvl="0" w:tplc="8C1C8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67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08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4B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49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40F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00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2B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080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7235ED"/>
    <w:multiLevelType w:val="hybridMultilevel"/>
    <w:tmpl w:val="299E1D86"/>
    <w:lvl w:ilvl="0" w:tplc="1B4ED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A7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08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2C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049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8B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E2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22C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CE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2B5905"/>
    <w:multiLevelType w:val="hybridMultilevel"/>
    <w:tmpl w:val="DCFEA8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83F70"/>
    <w:multiLevelType w:val="hybridMultilevel"/>
    <w:tmpl w:val="F00C8B24"/>
    <w:lvl w:ilvl="0" w:tplc="48FA1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4423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EE76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C2C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183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9ED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E2E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E5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64A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895542"/>
    <w:multiLevelType w:val="hybridMultilevel"/>
    <w:tmpl w:val="319CB9A8"/>
    <w:lvl w:ilvl="0" w:tplc="D87CB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87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FA1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18A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87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AAE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88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5C6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63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07636255">
    <w:abstractNumId w:val="0"/>
  </w:num>
  <w:num w:numId="2" w16cid:durableId="1817140350">
    <w:abstractNumId w:val="4"/>
  </w:num>
  <w:num w:numId="3" w16cid:durableId="746224191">
    <w:abstractNumId w:val="2"/>
  </w:num>
  <w:num w:numId="4" w16cid:durableId="924605354">
    <w:abstractNumId w:val="7"/>
  </w:num>
  <w:num w:numId="5" w16cid:durableId="1739551549">
    <w:abstractNumId w:val="1"/>
  </w:num>
  <w:num w:numId="6" w16cid:durableId="310839988">
    <w:abstractNumId w:val="8"/>
  </w:num>
  <w:num w:numId="7" w16cid:durableId="1188133231">
    <w:abstractNumId w:val="3"/>
  </w:num>
  <w:num w:numId="8" w16cid:durableId="384792046">
    <w:abstractNumId w:val="5"/>
  </w:num>
  <w:num w:numId="9" w16cid:durableId="82187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EB"/>
    <w:rsid w:val="000508EB"/>
    <w:rsid w:val="000B369E"/>
    <w:rsid w:val="00173BD8"/>
    <w:rsid w:val="0021149B"/>
    <w:rsid w:val="00266C10"/>
    <w:rsid w:val="002C38BB"/>
    <w:rsid w:val="002F3537"/>
    <w:rsid w:val="002F791B"/>
    <w:rsid w:val="00352BCB"/>
    <w:rsid w:val="00375A30"/>
    <w:rsid w:val="003D2838"/>
    <w:rsid w:val="00596DBE"/>
    <w:rsid w:val="005B77E1"/>
    <w:rsid w:val="00625D39"/>
    <w:rsid w:val="006A74CC"/>
    <w:rsid w:val="006C27B9"/>
    <w:rsid w:val="00745CB1"/>
    <w:rsid w:val="007B2E2B"/>
    <w:rsid w:val="007B7A7B"/>
    <w:rsid w:val="007E019C"/>
    <w:rsid w:val="00815FFF"/>
    <w:rsid w:val="008256F6"/>
    <w:rsid w:val="00882BB5"/>
    <w:rsid w:val="008C3CAE"/>
    <w:rsid w:val="008D58B0"/>
    <w:rsid w:val="008F1171"/>
    <w:rsid w:val="00953793"/>
    <w:rsid w:val="00973446"/>
    <w:rsid w:val="009C30A8"/>
    <w:rsid w:val="00A57DB5"/>
    <w:rsid w:val="00A862BD"/>
    <w:rsid w:val="00AC613B"/>
    <w:rsid w:val="00B0359D"/>
    <w:rsid w:val="00B04CB6"/>
    <w:rsid w:val="00B26CBB"/>
    <w:rsid w:val="00BB4492"/>
    <w:rsid w:val="00BB74F6"/>
    <w:rsid w:val="00C02CDD"/>
    <w:rsid w:val="00C42476"/>
    <w:rsid w:val="00CA54A8"/>
    <w:rsid w:val="00CD40BA"/>
    <w:rsid w:val="00D91E41"/>
    <w:rsid w:val="00DA4231"/>
    <w:rsid w:val="00DB2D53"/>
    <w:rsid w:val="00E1268F"/>
    <w:rsid w:val="00F024EC"/>
    <w:rsid w:val="00F6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70CE7"/>
  <w15:chartTrackingRefBased/>
  <w15:docId w15:val="{F905147C-9B0C-4E65-839B-E88F5D53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0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8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8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8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8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8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8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8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8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8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8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8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08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8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0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8EB"/>
  </w:style>
  <w:style w:type="paragraph" w:styleId="Footer">
    <w:name w:val="footer"/>
    <w:basedOn w:val="Normal"/>
    <w:link w:val="FooterChar"/>
    <w:uiPriority w:val="99"/>
    <w:unhideWhenUsed/>
    <w:rsid w:val="00050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8EB"/>
  </w:style>
  <w:style w:type="character" w:styleId="FollowedHyperlink">
    <w:name w:val="FollowedHyperlink"/>
    <w:basedOn w:val="DefaultParagraphFont"/>
    <w:uiPriority w:val="99"/>
    <w:semiHidden/>
    <w:unhideWhenUsed/>
    <w:rsid w:val="00CA54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779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324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186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3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019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584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16">
          <w:marLeft w:val="105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9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6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9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860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105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333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990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3554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7389">
          <w:marLeft w:val="547"/>
          <w:marRight w:val="0"/>
          <w:marTop w:val="2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548">
          <w:marLeft w:val="547"/>
          <w:marRight w:val="0"/>
          <w:marTop w:val="2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442">
          <w:marLeft w:val="547"/>
          <w:marRight w:val="0"/>
          <w:marTop w:val="2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4410">
          <w:marLeft w:val="547"/>
          <w:marRight w:val="0"/>
          <w:marTop w:val="2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259">
          <w:marLeft w:val="547"/>
          <w:marRight w:val="0"/>
          <w:marTop w:val="2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220885" TargetMode="External"/><Relationship Id="rId13" Type="http://schemas.openxmlformats.org/officeDocument/2006/relationships/hyperlink" Target="https://www.kingsfund.org.uk/insight-and-analysis/data-and-charts/nhs-budget-nutshell%20accessed%201.7.24" TargetMode="External"/><Relationship Id="rId18" Type="http://schemas.openxmlformats.org/officeDocument/2006/relationships/hyperlink" Target="https://www.pslhub.org/learn/organisations-linked-to-patient-safety-uk-and-beyond/international-patient-safety/who/the-third-who-global-patient-safety-challenge-medication-without-harm-r7406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swansea.ac.uk/adre/" TargetMode="External"/><Relationship Id="rId12" Type="http://schemas.openxmlformats.org/officeDocument/2006/relationships/hyperlink" Target="https://www.health.org.uk/publications/long-reads/health-care-funding" TargetMode="External"/><Relationship Id="rId17" Type="http://schemas.openxmlformats.org/officeDocument/2006/relationships/hyperlink" Target="https://doi.org/10.1007/s11096-023-01601-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36/bmjopen-2022-062589" TargetMode="External"/><Relationship Id="rId20" Type="http://schemas.openxmlformats.org/officeDocument/2006/relationships/hyperlink" Target="https://iris.who.int/bitstream/handle/10665/376212/9789240062764-eng.pdf?sequence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165/00002018-200629050-0000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ice.org.uk/guidance/ng5/evidence/full-guideline-677545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136/bmjqs-2019-010206" TargetMode="External"/><Relationship Id="rId19" Type="http://schemas.openxmlformats.org/officeDocument/2006/relationships/hyperlink" Target="https://apps.who.int/iris/handle/10665/3254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ddbeh.2021.107143" TargetMode="External"/><Relationship Id="rId14" Type="http://schemas.openxmlformats.org/officeDocument/2006/relationships/hyperlink" Target="https://resolution.nhs.uk/wp-content/uploads/2023/07/NHS-Resolution-Annual-report-and-accounts-2022_23-3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Jordan</dc:creator>
  <cp:keywords/>
  <dc:description/>
  <cp:lastModifiedBy>Sue Jordan</cp:lastModifiedBy>
  <cp:revision>29</cp:revision>
  <cp:lastPrinted>2024-07-08T20:45:00Z</cp:lastPrinted>
  <dcterms:created xsi:type="dcterms:W3CDTF">2024-04-29T13:15:00Z</dcterms:created>
  <dcterms:modified xsi:type="dcterms:W3CDTF">2024-07-11T20:01:00Z</dcterms:modified>
</cp:coreProperties>
</file>