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31C7401C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228348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43F34B1D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67956250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68E97B8A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60354D39" w14:textId="022B1DC7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 xml:space="preserve">Disgrifiad Swydd: </w:t>
      </w:r>
      <w:r w:rsidRPr="00233347">
        <w:rPr>
          <w:rFonts w:ascii="Calibri" w:hAnsi="Calibri" w:cs="Arial"/>
          <w:b w:val="0"/>
          <w:sz w:val="32"/>
          <w:szCs w:val="28"/>
          <w:u w:val="none"/>
          <w:rtl w:val="0"/>
          <w:lang w:val="cy-GB"/>
        </w:rPr>
        <w:t>Rheolwr Ymchwil i’r Farchnad</w:t>
      </w:r>
    </w:p>
    <w:p w:rsidR="00D50481" w:rsidRPr="00703D00" w:rsidP="00BF1362" w14:paraId="77E079B7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7923FB63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704B8" w:rsidRPr="00C85711" w:rsidP="002704B8" w14:paraId="79AA64E7" w14:textId="4422B7FF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Cyfadran/Adran:</w:t>
            </w:r>
          </w:p>
        </w:tc>
        <w:tc>
          <w:tcPr>
            <w:tcW w:w="8364" w:type="dxa"/>
          </w:tcPr>
          <w:p w:rsidR="002704B8" w:rsidRPr="000E616A" w:rsidP="002704B8" w14:paraId="18EDE2D6" w14:textId="0D7AC57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 w:rsidRPr="000E616A"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Marchnata, Recriwtio a Rhyngwladol</w:t>
            </w:r>
          </w:p>
        </w:tc>
      </w:tr>
      <w:tr w14:paraId="2D87E3C0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704B8" w:rsidP="002704B8" w14:paraId="74700863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Teitl y Swydd:</w:t>
            </w:r>
          </w:p>
        </w:tc>
        <w:tc>
          <w:tcPr>
            <w:tcW w:w="8364" w:type="dxa"/>
          </w:tcPr>
          <w:p w:rsidR="002704B8" w:rsidRPr="000E616A" w:rsidP="002704B8" w14:paraId="08FEAEE3" w14:textId="18E47F32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  <w:highlight w:val="yellow"/>
              </w:rPr>
            </w:pPr>
            <w:r w:rsidRPr="000E616A">
              <w:rPr>
                <w:rFonts w:asciiTheme="minorHAnsi" w:hAnsiTheme="minorHAnsi" w:cs="Arial"/>
                <w:iCs/>
                <w:sz w:val="22"/>
                <w:rtl w:val="0"/>
                <w:lang w:val="cy-GB"/>
              </w:rPr>
              <w:t>Rheolwr Ymchwil i’r Farchnad</w:t>
            </w:r>
          </w:p>
        </w:tc>
      </w:tr>
      <w:tr w14:paraId="14D18DBC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704B8" w:rsidRPr="00C85711" w:rsidP="002704B8" w14:paraId="513919CF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2704B8" w:rsidRPr="000E616A" w:rsidP="002704B8" w14:paraId="16A00AF8" w14:textId="7013FBED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  <w:highlight w:val="yellow"/>
              </w:rPr>
            </w:pPr>
            <w:r w:rsidRPr="000E616A">
              <w:rPr>
                <w:rFonts w:asciiTheme="minorHAnsi" w:hAnsiTheme="minorHAnsi" w:cs="Arial"/>
                <w:iCs/>
                <w:sz w:val="22"/>
                <w:rtl w:val="0"/>
                <w:lang w:val="cy-GB"/>
              </w:rPr>
              <w:t>Deallusrwydd Marchnata</w:t>
            </w:r>
          </w:p>
        </w:tc>
      </w:tr>
      <w:tr w14:paraId="569BFFC6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704B8" w:rsidRPr="00C85711" w:rsidP="002704B8" w14:paraId="46371D45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2704B8" w:rsidRPr="000E616A" w:rsidP="002704B8" w14:paraId="4B6AADD7" w14:textId="4EE447F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 w:rsidRPr="000E616A"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£38,205 y flwyddyn, ynghyd â buddion pensiwn USS</w:t>
            </w:r>
          </w:p>
        </w:tc>
      </w:tr>
      <w:tr w14:paraId="691AFAB2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704B8" w:rsidRPr="00C85711" w:rsidP="002704B8" w14:paraId="39B033A2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2704B8" w:rsidRPr="000E616A" w:rsidP="002704B8" w14:paraId="37B9AC7D" w14:textId="31144DF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 w:rsidRPr="000E616A"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Amser Llawn – 35 awr yr wythnos</w:t>
            </w:r>
          </w:p>
        </w:tc>
      </w:tr>
      <w:tr w14:paraId="46AAC78F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5D53F0" w:rsidP="00D50481" w14:paraId="1258BB01" w14:textId="586EB59E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Nifer y Swyddi:</w:t>
            </w:r>
          </w:p>
        </w:tc>
        <w:tc>
          <w:tcPr>
            <w:tcW w:w="8364" w:type="dxa"/>
          </w:tcPr>
          <w:p w:rsidR="005D53F0" w:rsidRPr="000E616A" w:rsidP="00D50481" w14:paraId="710ACEC1" w14:textId="2A3A5C65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iCs/>
                <w:sz w:val="22"/>
                <w:szCs w:val="24"/>
              </w:rPr>
            </w:pPr>
            <w:r w:rsidRPr="000E616A">
              <w:rPr>
                <w:rFonts w:asciiTheme="minorHAnsi" w:hAnsiTheme="minorHAnsi" w:cs="Arial"/>
                <w:iCs/>
                <w:sz w:val="22"/>
                <w:szCs w:val="24"/>
                <w:rtl w:val="0"/>
                <w:lang w:val="cy-GB"/>
              </w:rPr>
              <w:t>1</w:t>
            </w:r>
          </w:p>
        </w:tc>
      </w:tr>
      <w:tr w14:paraId="603444D1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4B105CD9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E27E69" w:rsidRPr="00FE6BDA" w:rsidP="00921FEB" w14:paraId="4DC6D709" w14:textId="6E4D499C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FE6BDA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 xml:space="preserve">Mae hon yn swydd am gyfnod penodol o fis Mehefin 2024 i gyflenwi yn ystod cyfnod o absenoldeb mamolaeth </w:t>
            </w:r>
          </w:p>
        </w:tc>
      </w:tr>
      <w:tr w14:paraId="2C55C901" w14:textId="77777777" w:rsidTr="00260115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5040E9E1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E27E69" w:rsidRPr="00FE6BDA" w:rsidP="0068015D" w14:paraId="6559426A" w14:textId="441856C6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FE6BDA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Lleolir y swydd hon ar Gampws Parc Singleton.</w:t>
            </w:r>
          </w:p>
        </w:tc>
      </w:tr>
    </w:tbl>
    <w:p w:rsidR="002D0DDE" w:rsidRPr="00703D00" w:rsidP="00CD4031" w14:paraId="720D05CD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230268FC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166BD2" w14:paraId="17876B3E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Prif Ddiben y Swydd</w:t>
            </w:r>
          </w:p>
          <w:p w:rsidR="006D6147" w:rsidRPr="00F424B0" w:rsidP="00166BD2" w14:paraId="4129DBCD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3A1C21" w:rsidRPr="00B418BB" w:rsidP="003A1C21" w14:paraId="183FD2EC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B418BB">
              <w:rPr>
                <w:rFonts w:asciiTheme="minorHAnsi" w:hAnsiTheme="minorHAnsi"/>
                <w:sz w:val="22"/>
                <w:rtl w:val="0"/>
                <w:lang w:val="cy-GB"/>
              </w:rPr>
              <w:t xml:space="preserve">Rydym am benodi arbenigwr dealltwriaeth o'r farchnad sydd â phrofiad mewn dulliau ymchwil ansoddol ac sy'n hyderus gyda data meintiol i gyflenwi yn ystod cyfnod o absenoldeb mamolaeth. </w:t>
            </w:r>
            <w:r w:rsidRPr="00B418BB">
              <w:rPr>
                <w:rFonts w:asciiTheme="minorHAnsi" w:hAnsiTheme="minorHAnsi"/>
                <w:sz w:val="22"/>
                <w:rtl w:val="0"/>
                <w:lang w:val="cy-GB"/>
              </w:rPr>
              <w:t xml:space="preserve">Byddwch yn meddu ar frwdfrydedd am ddeall cymhellion ac ymddygiadau pobl, ac yn cydlynu gwaith ymchwil ansoddol y Tîm Deallusrwydd Marchnata ym Mhrifysgol Abertawe. </w:t>
            </w:r>
            <w:r w:rsidRPr="00B418BB">
              <w:rPr>
                <w:rFonts w:asciiTheme="minorHAnsi" w:hAnsiTheme="minorHAnsi"/>
                <w:sz w:val="22"/>
                <w:rtl w:val="0"/>
                <w:lang w:val="cy-GB"/>
              </w:rPr>
              <w:t>Byddwch yn comisiynu ac yn cynnal ymchwil sylfaenol ac eilaidd, ac yn gweithio i sicrhau bod cydweithwyr yn defnyddio'r canlyniadau i lywio eu penderfyniadau.</w:t>
            </w:r>
          </w:p>
          <w:p w:rsidR="00F27F48" w:rsidP="00351936" w14:paraId="1DAE3228" w14:textId="77777777">
            <w:pPr>
              <w:bidi w:val="0"/>
              <w:rPr>
                <w:rFonts w:asciiTheme="minorHAnsi" w:hAnsiTheme="minorHAnsi"/>
                <w:sz w:val="22"/>
                <w:szCs w:val="22"/>
                <w:lang w:val="en-IE"/>
              </w:rPr>
            </w:pPr>
          </w:p>
          <w:p w:rsidR="0034523F" w:rsidRPr="00245F5B" w:rsidP="0034523F" w14:paraId="5B797949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1.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Gweithio gydag Arweinydd yr Adran i ddatblygu amrywiaeth o ddulliau ac adnoddau ansoddol i gasglu tystiolaeth i lywio penderfyniadau strategol a gweithredol i ategu nodau'r Brifysgol.</w:t>
            </w:r>
          </w:p>
          <w:p w:rsidR="0034523F" w:rsidRPr="00245F5B" w:rsidP="0034523F" w14:paraId="5E2ECE6B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2.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Gweithio gyda chydweithwyr mewn timau eraill yn MRI i ddeall eu gofynion o ran dealltwriaeth o'r farchnad, sut maent yn ymwneud â'u hangen a'u cyfleoedd, a nodi atebion deallusrwydd i'w helpu i gyflawni.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Arwain y prosiectau mewnwelediad i'r farchnad sy'n deillio o hynny a rheoli anghenion rhanddeiliaid amryfal.</w:t>
            </w:r>
          </w:p>
          <w:p w:rsidR="0034523F" w:rsidRPr="00245F5B" w:rsidP="0034523F" w14:paraId="44B1C419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3.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Comisiynu ymchwil i'r farchnad drwy sefydliadau allanol a goruchwylio'r prosiectau hyn i gynnwys achos busnes, cyllideb, briff, cyflawni, lledaenu a gwerthuso.</w:t>
            </w:r>
          </w:p>
          <w:p w:rsidR="0034523F" w:rsidRPr="00245F5B" w:rsidP="0034523F" w14:paraId="72BCDC21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4.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Datblygu personâu defnyddwyr fel y bydd y rhain yn cyd-fynd â thaith y cwsmer a gweithgarwch marchnata.</w:t>
            </w:r>
          </w:p>
          <w:p w:rsidR="0034523F" w:rsidP="0034523F" w14:paraId="5255D127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5.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Cydlynu'r gwaith o goladu, trin a dadansoddi data ansoddol, gan ddefnyddio dulliau addas e.e. grwpiau ffocws, arolygon, profi ymddygiad, mewn gwahanol ffurfiau.</w:t>
            </w:r>
          </w:p>
          <w:p w:rsidR="00F455F6" w:rsidRPr="00245F5B" w:rsidP="00F455F6" w14:paraId="5D31A5CB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6.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Cynnal casgliad o ddealltwriaeth o'r farchnad er mwyn i gydweithwyr allu deall natur eu cwsmeriaid er mwyn gwella effeithiolrwydd eu gweithgarwch.</w:t>
            </w:r>
          </w:p>
          <w:p w:rsidR="00F455F6" w:rsidRPr="00245F5B" w:rsidP="00F455F6" w14:paraId="54B23DDA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7.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Cydlynu a chynnal asesiadau ymchwil ddesg o gystadleuwyr, y farchnad a'r diwydiant er mwyn sicrhau bod penderfyniadau a wneir yn MRI yn cael eu llywio gan gyd-destun ehangach y farchnad.</w:t>
            </w:r>
          </w:p>
          <w:p w:rsidR="00F455F6" w:rsidRPr="00245F5B" w:rsidP="00F455F6" w14:paraId="54FBBD9E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8.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Helpu i gydlynu'r defnydd o blatfform Arolygon Ar-lein JISC gan gydweithwyr a myfyrwyr ar draws y sefydliad.</w:t>
            </w:r>
          </w:p>
          <w:p w:rsidR="00F455F6" w:rsidRPr="00245F5B" w:rsidP="00F455F6" w14:paraId="58A6460A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9.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Bod yn rheolwr llinell i 2 Swyddog Ymchwil i'r Farchnad i sicrhau bod eu gwaith yn canolbwyntio ar flaenoriaethau strategol MRI a bod ganddynt y cymhelliant i feithrin eu sgiliau a pherfformio ar lefel uchel.</w:t>
            </w:r>
          </w:p>
          <w:p w:rsidR="00F455F6" w:rsidRPr="00AA527B" w:rsidP="00F455F6" w14:paraId="7DD9E032" w14:textId="77777777">
            <w:pPr>
              <w:bidi w:val="0"/>
              <w:rPr>
                <w:rFonts w:asciiTheme="minorHAnsi" w:hAnsiTheme="minorHAnsi"/>
                <w:color w:val="FF0000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10. Recriwtio a rheoli myfyrwyr i weithio ar brosiectau dealltwriaeth o'r farchnad sy'n gofyn am ddull ansoddol.</w:t>
            </w:r>
          </w:p>
          <w:p w:rsidR="00F455F6" w:rsidRPr="00245F5B" w:rsidP="00F455F6" w14:paraId="2A7AD3F4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11.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Helpu i gydlynu agweddau ar y Labordy Ymchwil i'r Farchnad – casgliad o gydweithwyr gwasanaethau proffesiynol ac academaidd – er mwyn rhannu dealltwriaeth sy'n gysylltiedig â gweithgarwch marchnata'r Brifysgol</w:t>
            </w:r>
          </w:p>
          <w:p w:rsidR="00F455F6" w:rsidRPr="00245F5B" w:rsidP="00F455F6" w14:paraId="4521FFCC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12.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Gweithio gyda chydweithwyr yn MRI i wreiddio'r defnydd o dystiolaeth a gynhyrchir gan y Tîm Deallusrwydd Marchnata wrth wneud penderfyniadau gan gynnwys cydlynu lledaenu deallusrwydd drwy e-bost, cyfarfodydd wyneb yn wyneb a gweithdai.</w:t>
            </w:r>
          </w:p>
          <w:p w:rsidR="00F455F6" w:rsidRPr="00245F5B" w:rsidP="00F455F6" w14:paraId="445F0BE0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 xml:space="preserve">13. </w:t>
            </w:r>
            <w:r w:rsidRPr="00245F5B">
              <w:rPr>
                <w:rFonts w:asciiTheme="minorHAnsi" w:hAnsiTheme="minorHAnsi"/>
                <w:sz w:val="22"/>
                <w:rtl w:val="0"/>
                <w:lang w:val="cy-GB"/>
              </w:rPr>
              <w:t>Arwain ar greu, datblygu a rheoli paneli defnyddwyr yn effeithiol i roi mewnbwn a barn ar gynhyrchion a gwasanaethau MRI.</w:t>
            </w:r>
          </w:p>
          <w:p w:rsidR="00F455F6" w:rsidRPr="006A3FC7" w:rsidP="00F455F6" w14:paraId="0D577741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6A3FC7">
              <w:rPr>
                <w:rFonts w:asciiTheme="minorHAnsi" w:hAnsiTheme="minorHAnsi"/>
                <w:sz w:val="22"/>
                <w:rtl w:val="0"/>
                <w:lang w:val="cy-GB"/>
              </w:rPr>
              <w:t xml:space="preserve">14. </w:t>
            </w:r>
            <w:r w:rsidRPr="006A3FC7">
              <w:rPr>
                <w:rFonts w:asciiTheme="minorHAnsi" w:hAnsiTheme="minorHAnsi"/>
                <w:sz w:val="22"/>
                <w:rtl w:val="0"/>
                <w:lang w:val="cy-GB"/>
              </w:rPr>
              <w:t>Arwain wrth reoli'r wefan SharePoint ar gyfer y Tîm Deallusrwydd Marchnata i sicrhau bod gwybodaeth fewnol ac allanol am ddealltwriaeth o'r farchnad ar gael drwy gyfleuster hunanwasanaeth i gydweithwyr ar draws y Brifysgol.</w:t>
            </w:r>
          </w:p>
          <w:p w:rsidR="00F455F6" w:rsidRPr="006A3FC7" w:rsidP="00F455F6" w14:paraId="6F86BB26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6A3FC7">
              <w:rPr>
                <w:rFonts w:asciiTheme="minorHAnsi" w:hAnsiTheme="minorHAnsi"/>
                <w:sz w:val="22"/>
                <w:rtl w:val="0"/>
                <w:lang w:val="cy-GB"/>
              </w:rPr>
              <w:t xml:space="preserve">15. </w:t>
            </w:r>
            <w:r w:rsidRPr="006A3FC7">
              <w:rPr>
                <w:rFonts w:asciiTheme="minorHAnsi" w:hAnsiTheme="minorHAnsi"/>
                <w:sz w:val="22"/>
                <w:rtl w:val="0"/>
                <w:lang w:val="cy-GB"/>
              </w:rPr>
              <w:t xml:space="preserve">Cefnogi cydweithwyr i gynnal gwaith gwerthuso a dadansoddi, dehongli canlyniadau, dod i gasgliadau a gwneud argymhellion y gellir eu gweithredu i lywio ac arwain penderfyniadau. </w:t>
            </w:r>
            <w:r w:rsidRPr="006A3FC7">
              <w:rPr>
                <w:rFonts w:asciiTheme="minorHAnsi" w:hAnsiTheme="minorHAnsi"/>
                <w:sz w:val="22"/>
                <w:rtl w:val="0"/>
                <w:lang w:val="cy-GB"/>
              </w:rPr>
              <w:t>Gall hyn gynnwys rhywfaint o hyfforddiant sylfaenol i staff ar sut i ymgymryd ag ymchwil ansoddol.</w:t>
            </w:r>
          </w:p>
          <w:p w:rsidR="00F455F6" w:rsidRPr="006A3FC7" w:rsidP="00F455F6" w14:paraId="1EC68609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6A3FC7">
              <w:rPr>
                <w:rFonts w:asciiTheme="minorHAnsi" w:hAnsiTheme="minorHAnsi"/>
                <w:sz w:val="22"/>
                <w:rtl w:val="0"/>
                <w:lang w:val="cy-GB"/>
              </w:rPr>
              <w:t xml:space="preserve">16. </w:t>
            </w:r>
            <w:r w:rsidRPr="006A3FC7">
              <w:rPr>
                <w:rFonts w:asciiTheme="minorHAnsi" w:hAnsiTheme="minorHAnsi"/>
                <w:sz w:val="22"/>
                <w:rtl w:val="0"/>
                <w:lang w:val="cy-GB"/>
              </w:rPr>
              <w:t>Cydlynu’r gwaith o werthuso a monitro cynnwys ymgyrchoedd marchnata gan gynnwys cynghori a chreu mesurau priodol ac ystyrlon.</w:t>
            </w:r>
          </w:p>
          <w:p w:rsidR="00F455F6" w:rsidRPr="006A3FC7" w:rsidP="00F455F6" w14:paraId="4110CA08" w14:textId="77777777">
            <w:pPr>
              <w:bidi w:val="0"/>
              <w:rPr>
                <w:rFonts w:asciiTheme="minorHAnsi" w:hAnsiTheme="minorHAnsi"/>
                <w:sz w:val="22"/>
              </w:rPr>
            </w:pPr>
            <w:r w:rsidRPr="006A3FC7">
              <w:rPr>
                <w:rFonts w:asciiTheme="minorHAnsi" w:hAnsiTheme="minorHAnsi"/>
                <w:sz w:val="22"/>
                <w:rtl w:val="0"/>
                <w:lang w:val="cy-GB"/>
              </w:rPr>
              <w:t xml:space="preserve">17.  </w:t>
            </w:r>
            <w:r w:rsidRPr="006A3FC7">
              <w:rPr>
                <w:rFonts w:asciiTheme="minorHAnsi" w:hAnsiTheme="minorHAnsi"/>
                <w:sz w:val="22"/>
                <w:rtl w:val="0"/>
                <w:lang w:val="cy-GB"/>
              </w:rPr>
              <w:t xml:space="preserve">Cynnig arweinyddiaeth tîm a rheolaeth llinell i sicrhau gwaith cywir, effeithlon a phrydlon a chyflawni targedau, gan gefnogi, datblygu a herio timau i lwyddo.  </w:t>
            </w:r>
            <w:r w:rsidRPr="006A3FC7">
              <w:rPr>
                <w:rFonts w:asciiTheme="minorHAnsi" w:hAnsiTheme="minorHAnsi"/>
                <w:sz w:val="22"/>
                <w:rtl w:val="0"/>
                <w:lang w:val="cy-GB"/>
              </w:rPr>
              <w:t>Bod yn atebol am roi eglurder a chyfeiriad, creu diwylliant sy'n ysgogi eraill i ganolbwyntio ar ganlyniadau a pherfformio'n effeithiol.</w:t>
            </w:r>
          </w:p>
          <w:p w:rsidR="00735118" w:rsidRPr="00F455F6" w:rsidP="00F455F6" w14:paraId="161E49D0" w14:textId="77777777">
            <w:pPr>
              <w:bidi w:val="0"/>
              <w:rPr>
                <w:rFonts w:asciiTheme="minorHAnsi" w:hAnsiTheme="minorHAnsi"/>
                <w:szCs w:val="24"/>
              </w:rPr>
            </w:pPr>
          </w:p>
        </w:tc>
      </w:tr>
      <w:tr w14:paraId="3C615D5F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0D4150" w:rsidP="00166BD2" w14:paraId="2E825CC5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940B3D" w:rsidRPr="00940B3D" w:rsidP="004B61C8" w14:paraId="7FD6EFE3" w14:textId="2AD80FEF">
            <w:pPr>
              <w:pStyle w:val="ListParagraph"/>
              <w:numPr>
                <w:ilvl w:val="0"/>
                <w:numId w:val="4"/>
              </w:numPr>
              <w:bidi w:val="0"/>
              <w:ind w:left="350" w:hanging="350"/>
              <w:rPr>
                <w:rFonts w:asciiTheme="minorHAnsi" w:hAnsiTheme="minorHAnsi"/>
              </w:rPr>
            </w:pPr>
            <w:r w:rsidRPr="00940B3D">
              <w:rPr>
                <w:rFonts w:asciiTheme="minorHAnsi" w:hAnsiTheme="minorHAnsi"/>
                <w:rtl w:val="0"/>
                <w:lang w:val="cy-GB"/>
              </w:rPr>
              <w:t>Cyfrannu'n llawn at bolisïau Galluogi Perfformiad ac Iaith Gymraeg y Brifysgol.</w:t>
            </w:r>
          </w:p>
          <w:p w:rsidR="00940B3D" w:rsidRPr="00940B3D" w:rsidP="004B61C8" w14:paraId="73BDDD6F" w14:textId="355CDCDA">
            <w:pPr>
              <w:pStyle w:val="ListParagraph"/>
              <w:numPr>
                <w:ilvl w:val="0"/>
                <w:numId w:val="4"/>
              </w:numPr>
              <w:bidi w:val="0"/>
              <w:ind w:left="350" w:hanging="350"/>
              <w:rPr>
                <w:rFonts w:asciiTheme="minorHAnsi" w:hAnsiTheme="minorHAnsi"/>
              </w:rPr>
            </w:pPr>
            <w:r w:rsidRPr="00940B3D">
              <w:rPr>
                <w:rFonts w:asciiTheme="minorHAnsi" w:hAnsiTheme="minorHAnsi"/>
                <w:rtl w:val="0"/>
                <w:lang w:val="cy-GB"/>
              </w:rPr>
              <w:t>Hyrwyddo cydraddoldeb ac amrywiaeth mewn arferion gwaith a chynnal perthnasoedd gweithio cadarnhaol.</w:t>
            </w:r>
          </w:p>
          <w:p w:rsidR="00940B3D" w:rsidRPr="006A3FC7" w:rsidP="004B61C8" w14:paraId="55E4E2D5" w14:textId="77777777">
            <w:pPr>
              <w:pStyle w:val="ListParagraph"/>
              <w:numPr>
                <w:ilvl w:val="0"/>
                <w:numId w:val="4"/>
              </w:numPr>
              <w:bidi w:val="0"/>
              <w:spacing w:after="0"/>
              <w:ind w:left="350" w:hanging="35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6A3FC7">
              <w:rPr>
                <w:rFonts w:asciiTheme="minorHAnsi" w:eastAsiaTheme="minorHAnsi" w:hAnsiTheme="minorHAnsi" w:cs="Arial"/>
                <w:szCs w:val="20"/>
                <w:rtl w:val="0"/>
                <w:lang w:val="cy-GB"/>
              </w:rPr>
              <w:t xml:space="preserve">Arwain wrth wella perfformiad iechyd a diogelwch yn barhaus drwy ddealltwriaeth gadarn o broffil risg a datblygu diwylliant iechyd a diogelwch cadarnhaol. </w:t>
            </w:r>
          </w:p>
          <w:p w:rsidR="00940B3D" w:rsidRPr="006A3FC7" w:rsidP="004B61C8" w14:paraId="48DEFACB" w14:textId="77777777">
            <w:pPr>
              <w:pStyle w:val="ListParagraph"/>
              <w:numPr>
                <w:ilvl w:val="0"/>
                <w:numId w:val="4"/>
              </w:numPr>
              <w:bidi w:val="0"/>
              <w:spacing w:after="0"/>
              <w:ind w:left="350" w:hanging="35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6A3FC7">
              <w:rPr>
                <w:rFonts w:asciiTheme="minorHAnsi" w:eastAsiaTheme="minorHAnsi" w:hAnsiTheme="minorHAnsi" w:cs="Arial"/>
                <w:szCs w:val="20"/>
                <w:rtl w:val="0"/>
                <w:lang w:val="cy-GB"/>
              </w:rPr>
              <w:t>Ymgymryd â dyletswyddau eraill yn ôl cyfarwyddyd Pennaeth y Coleg/Adran neu rywun sy'n gweithredu â'i awdurdod, yn unol â diffiniad y radd.</w:t>
            </w:r>
          </w:p>
          <w:p w:rsidR="00940B3D" w:rsidRPr="006A3FC7" w:rsidP="004B61C8" w14:paraId="2D48096D" w14:textId="77777777">
            <w:pPr>
              <w:pStyle w:val="ListParagraph"/>
              <w:numPr>
                <w:ilvl w:val="0"/>
                <w:numId w:val="4"/>
              </w:numPr>
              <w:bidi w:val="0"/>
              <w:spacing w:after="0"/>
              <w:ind w:left="350" w:hanging="350"/>
              <w:jc w:val="both"/>
              <w:rPr>
                <w:rFonts w:asciiTheme="minorHAnsi" w:eastAsiaTheme="minorHAnsi" w:hAnsiTheme="minorHAnsi" w:cs="Arial"/>
                <w:szCs w:val="20"/>
              </w:rPr>
            </w:pPr>
            <w:r w:rsidRPr="006A3FC7">
              <w:rPr>
                <w:rFonts w:asciiTheme="minorHAnsi" w:eastAsiaTheme="minorHAnsi" w:hAnsiTheme="minorHAnsi" w:cs="Arial"/>
                <w:szCs w:val="20"/>
                <w:rtl w:val="0"/>
                <w:lang w:val="cy-GB"/>
              </w:rPr>
              <w:t>Sicrhau bod rheoli risg yn rhan hanfodol o’r broses gwneud penderfyniadau, drwy sicrhau cydymffurfiaeth â Pholisi Rheoli Risg y Brifysgol</w:t>
            </w:r>
          </w:p>
          <w:p w:rsidR="000D4150" w:rsidP="00735118" w14:paraId="6F0C0D26" w14:textId="77777777">
            <w:pPr>
              <w:bidi w:val="0"/>
              <w:rPr>
                <w:rFonts w:asciiTheme="minorHAnsi" w:hAnsiTheme="minorHAnsi"/>
                <w:szCs w:val="24"/>
              </w:rPr>
            </w:pPr>
          </w:p>
        </w:tc>
      </w:tr>
      <w:tr w14:paraId="2764E34D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561901" w14:paraId="7E47D502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Gwerthoedd Arweinyddiaeth</w:t>
            </w:r>
          </w:p>
        </w:tc>
        <w:tc>
          <w:tcPr>
            <w:tcW w:w="9356" w:type="dxa"/>
          </w:tcPr>
          <w:p w:rsidR="00735118" w:rsidRPr="00735118" w:rsidP="00735118" w14:paraId="24C3A337" w14:textId="77777777">
            <w:pPr>
              <w:bidi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73511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Mae holl feysydd y Gwasanaethau Proffesiynol ym Mhrifysgol Abertawe yn gweithredu yn unol â set ddiffiniedig o Werthoedd Craidd – </w:t>
            </w:r>
            <w:r>
              <w:fldChar w:fldCharType="begin"/>
            </w:r>
            <w:r>
              <w:instrText xml:space="preserve"> HYPERLINK "https://www.swansea.ac.uk/the-university/values/professional-services-values/" </w:instrText>
            </w:r>
            <w:r>
              <w:fldChar w:fldCharType="separate"/>
            </w:r>
            <w:r w:rsidR="00104F45">
              <w:rPr>
                <w:rStyle w:val="Hyperlink"/>
                <w:rFonts w:ascii="Calibri" w:hAnsi="Calibri"/>
                <w:sz w:val="22"/>
                <w:szCs w:val="22"/>
                <w:u w:val="single"/>
                <w:rtl w:val="0"/>
                <w:lang w:val="cy-GB"/>
              </w:rPr>
              <w:t>http://www.swansea.ac.uk/cy/y-brifysgol/safon-fyd-eang/gwerthoedd/gwasanaethau-proffesiynol/</w:t>
            </w:r>
            <w:r>
              <w:fldChar w:fldCharType="end"/>
            </w:r>
            <w:r w:rsidRPr="0073511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 – a disgwylir i bawb allu dangos ymrwymiad i'r gwerthoedd hyn o'r adeg cyflwyno cais am swydd i gyflawni eu rôl o ddydd i ddydd. </w:t>
            </w:r>
            <w:r w:rsidRPr="0073511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  <w:r w:rsidRPr="0073511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Yn ogystal, byddwch yn gweithredu yn ôl cyfres ddiffiniedig o Werthoedd Arweinyddiaeth. </w:t>
            </w:r>
            <w:r w:rsidRPr="0073511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Ein Gwerthoedd:</w:t>
            </w:r>
          </w:p>
          <w:p w:rsidR="009505FD" w:rsidRPr="009505FD" w:rsidP="009505FD" w14:paraId="005947A1" w14:textId="77777777">
            <w:pPr>
              <w:bidi w:val="0"/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Rydym yn Broffesiynol</w:t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br/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t>Rydym yn ymfalchïo mewn defnyddio ein gwybodaeth, ein sgiliau, ein creadigrwydd, ein gonestrwydd a'n doethineb i ddarparu gwasanaethau arloesol, effeithiol ac effeithlon ynghyd ag atebion o safon ardderchog</w:t>
            </w:r>
          </w:p>
          <w:p w:rsidR="009505FD" w:rsidP="00351936" w14:paraId="7C1DAC5F" w14:textId="77777777">
            <w:pPr>
              <w:bidi w:val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505FD" w:rsidRPr="009505FD" w:rsidP="009505FD" w14:paraId="196AC442" w14:textId="77777777">
            <w:pPr>
              <w:bidi w:val="0"/>
              <w:spacing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 xml:space="preserve">Rydym yn Cydweithio          </w:t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br/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t>Rydym yn ymfalchïo mewn amgylchedd gweithio rhagweithiol a chydweithredol o gydraddoldeb, ymddiriedaeth, parch, cydweithio a her, i ddarparu gwasanaethau sy'n ceisio rhagori ar anghenion a disgwyliadau cwsmeriaid.</w:t>
            </w:r>
          </w:p>
          <w:p w:rsidR="009505FD" w:rsidRPr="009505FD" w:rsidP="009505FD" w14:paraId="2FF7D0B3" w14:textId="77777777">
            <w:pPr>
              <w:bidi w:val="0"/>
              <w:spacing w:before="100" w:beforeAutospacing="1"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505FD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Rydym yn Ofalgar</w:t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br/>
            </w:r>
            <w:r w:rsidRPr="009505FD">
              <w:rPr>
                <w:rFonts w:ascii="Calibri" w:hAnsi="Calibri"/>
                <w:b w:val="0"/>
                <w:bCs w:val="0"/>
                <w:sz w:val="22"/>
                <w:szCs w:val="22"/>
                <w:rtl w:val="0"/>
                <w:lang w:val="cy-GB"/>
              </w:rPr>
              <w:t xml:space="preserve">Rydym yn derbyn cyfrifoldeb am wrando ar ein myfyrwyr, ein cydweithwyr, ein partneriaid allanol a'r cyhoedd, eu deall ac ymateb yn hyblyg iddynt, fel bod pob cysylltiad rhyngddynt a ni yn brofiad personol a chadarnhaol. </w:t>
            </w:r>
          </w:p>
          <w:p w:rsidR="006D6147" w:rsidRPr="00351936" w:rsidP="00351936" w14:paraId="510E29C2" w14:textId="77777777">
            <w:pPr>
              <w:bidi w:val="0"/>
              <w:spacing w:before="100" w:beforeAutospacing="1"/>
              <w:jc w:val="left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9505FD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 ymrwymiad i'n gwerthoedd ym Mhrifysgol Abertawe yn ein cefnogi wrth hyrwyddo cydraddoldeb ac wrth werthfawrogi amrywiaeth er mwyn defnyddio'r holl ddoniau sydd gennym.</w:t>
            </w:r>
          </w:p>
        </w:tc>
      </w:tr>
      <w:tr w14:paraId="54CB361C" w14:textId="77777777" w:rsidTr="00166BD2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166BD2" w14:paraId="36B95B6A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tl w:val="0"/>
                <w:lang w:val="cy-GB"/>
              </w:rPr>
              <w:br w:type="page"/>
            </w: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Manyleb Person</w:t>
            </w:r>
          </w:p>
          <w:p w:rsidR="006D6147" w:rsidRPr="00790AC8" w:rsidP="00166BD2" w14:paraId="7FF4C3ED" w14:textId="77777777">
            <w:pPr>
              <w:bidi w:val="0"/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576988" w:rsidRPr="00032111" w:rsidP="00576988" w14:paraId="62141B1E" w14:textId="77777777">
            <w:pPr>
              <w:bidi w:val="0"/>
              <w:spacing w:before="100" w:beforeAutospacing="1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Gwerthoedd Arweinyddiaeth:</w:t>
            </w:r>
          </w:p>
          <w:p w:rsidR="00576988" w:rsidRPr="00907138" w:rsidP="00576988" w14:paraId="38612A96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0713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1. </w:t>
            </w:r>
            <w:r w:rsidRPr="0090713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Tystiolaeth o greu diwylliant sy’n cyflawni canlyniadau llwyddiannus drwy bobl, datblygu a herio timau i lwyddo ac ymfalchïo mewn darparu gwasanaethau ac atebion proffesiynol.</w:t>
            </w:r>
          </w:p>
          <w:p w:rsidR="00576988" w:rsidRPr="00907138" w:rsidP="00576988" w14:paraId="02AB8A6C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0713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2. </w:t>
            </w:r>
            <w:r w:rsidRPr="0090713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Y gallu i rymuso timau i weithio gyda’i gilydd ac ar draws swyddogaethau i gyflawni canlyniadau llwyddiannus sy’n rhagori ar anghenion a disgwyliadau cwsmeriaid, a chreu amgylcheddau sy’n dangos cydraddoldeb, yn meithrin ymddiriedaeth, parch a her. </w:t>
            </w:r>
          </w:p>
          <w:p w:rsidR="00576988" w:rsidRPr="00907138" w:rsidP="00576988" w14:paraId="09EA011E" w14:textId="77777777">
            <w:pPr>
              <w:bidi w:val="0"/>
              <w:spacing w:after="100" w:afterAutospacing="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0713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3. </w:t>
            </w:r>
            <w:r w:rsidRPr="00907138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Profiad amlwg o greu amgylcheddau sy’n nodi ac yn deall anghenion y cwsmeriaid, gan roi blaenoriaeth i ddiwallu’r rhain, ac ysgogi ac ysbrydoli timau i gynnig y safonau uchaf o ofal personol</w:t>
            </w:r>
          </w:p>
          <w:p w:rsidR="005F2E9F" w:rsidP="005F2E9F" w14:paraId="111F5CBC" w14:textId="77777777">
            <w:pPr>
              <w:bidi w:val="0"/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032111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Cymwysterau:</w:t>
            </w:r>
          </w:p>
          <w:p w:rsidR="00576988" w:rsidRPr="005F2E9F" w:rsidP="005F2E9F" w14:paraId="4C84BA79" w14:textId="53A1D987">
            <w:pPr>
              <w:pStyle w:val="ListParagraph"/>
              <w:numPr>
                <w:ilvl w:val="0"/>
                <w:numId w:val="6"/>
              </w:numPr>
              <w:bidi w:val="0"/>
              <w:ind w:left="208" w:hanging="208"/>
              <w:rPr>
                <w:rFonts w:asciiTheme="minorHAnsi" w:hAnsiTheme="minorHAnsi"/>
                <w:b/>
              </w:rPr>
            </w:pPr>
            <w:r w:rsidRPr="005F2E9F">
              <w:rPr>
                <w:rFonts w:asciiTheme="minorHAnsi" w:hAnsiTheme="minorHAnsi"/>
                <w:rtl w:val="0"/>
                <w:lang w:val="cy-GB"/>
              </w:rPr>
              <w:t>Gradd a/neu brofiad gwaith perthnasol sylweddol</w:t>
            </w:r>
          </w:p>
          <w:p w:rsidR="00407E86" w:rsidRPr="00576988" w:rsidP="00576988" w14:paraId="1FFBD238" w14:textId="1D010E0D">
            <w:pPr>
              <w:pStyle w:val="ListParagraph"/>
              <w:numPr>
                <w:ilvl w:val="0"/>
                <w:numId w:val="6"/>
              </w:numPr>
              <w:bidi w:val="0"/>
              <w:spacing w:before="100" w:beforeAutospacing="1"/>
              <w:ind w:left="208" w:hanging="208"/>
              <w:rPr>
                <w:rFonts w:asciiTheme="minorHAnsi" w:hAnsiTheme="minorHAnsi"/>
              </w:rPr>
            </w:pPr>
            <w:r w:rsidRPr="00576988">
              <w:rPr>
                <w:rFonts w:asciiTheme="minorHAnsi" w:hAnsiTheme="minorHAnsi"/>
                <w:rtl w:val="0"/>
                <w:lang w:val="cy-GB"/>
              </w:rPr>
              <w:t>Wedi’ch addysgu hyd at Safon Uwch gan gynnwys dulliau ymchwil ansoddol.</w:t>
            </w:r>
          </w:p>
          <w:p w:rsidR="00032111" w:rsidRPr="00407E86" w:rsidP="00407E86" w14:paraId="7A19D124" w14:textId="01FD0E86">
            <w:pPr>
              <w:bidi w:val="0"/>
              <w:spacing w:before="100" w:beforeAutospacing="1"/>
              <w:rPr>
                <w:rFonts w:asciiTheme="minorHAnsi" w:hAnsiTheme="minorHAnsi"/>
                <w:b/>
              </w:rPr>
            </w:pPr>
            <w:r w:rsidRPr="00407E86">
              <w:rPr>
                <w:rFonts w:ascii="Calibri" w:hAnsi="Calibri"/>
                <w:b/>
                <w:bCs/>
                <w:rtl w:val="0"/>
                <w:lang w:val="cy-GB"/>
              </w:rPr>
              <w:t>Profiad:</w:t>
            </w:r>
          </w:p>
          <w:p w:rsidR="00787E45" w:rsidRPr="00245F5B" w:rsidP="00787E45" w14:paraId="3B986397" w14:textId="77777777">
            <w:pPr>
              <w:bidi w:val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6. Profiad sylweddol o gasglu a dadansoddi data ansoddol e.e. arolygon, grwpiau ffocws, cyfweliadau a dulliau ymddygiadol.</w:t>
            </w:r>
          </w:p>
          <w:p w:rsidR="00787E45" w:rsidRPr="00245F5B" w:rsidP="00787E45" w14:paraId="60316807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17D8D">
              <w:rPr>
                <w:rFonts w:asciiTheme="minorHAnsi" w:hAnsiTheme="minorHAnsi"/>
                <w:bCs w:val="0"/>
                <w:sz w:val="22"/>
                <w:szCs w:val="22"/>
                <w:rtl w:val="0"/>
                <w:lang w:val="cy-GB"/>
              </w:rPr>
              <w:t xml:space="preserve">7. </w:t>
            </w:r>
            <w:r w:rsidRPr="00C17D8D">
              <w:rPr>
                <w:rFonts w:asciiTheme="minorHAnsi" w:hAnsiTheme="minorHAnsi"/>
                <w:bCs w:val="0"/>
                <w:sz w:val="22"/>
                <w:szCs w:val="22"/>
                <w:rtl w:val="0"/>
                <w:lang w:val="cy-GB"/>
              </w:rPr>
              <w:t>Profiad o ysgrifennu adroddiadau effeithiol lle rydych wedi defnyddio gwybodaeth gymhleth mewn ffordd sy'n glir ac yn hawdd ei dehongli i wahanol gynulleidfaoedd.</w:t>
            </w:r>
          </w:p>
          <w:p w:rsidR="00787E45" w:rsidRPr="00245F5B" w:rsidP="00787E45" w14:paraId="6270BC04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8.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Profiad o dechnegau ymchwil i'r farchnad, a gwybodaeth am hynny.</w:t>
            </w:r>
          </w:p>
          <w:p w:rsidR="00787E45" w:rsidRPr="00245F5B" w:rsidP="00787E45" w14:paraId="19E9DFBD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9.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Profiad sylweddol o gyflwyno gwybodaeth ddadansoddol mewn fformat clir a chryno, e.e. tablau, graffiau, ar lafar ac yn ysgrifenedig, yn ddealladwy ac i gynulleidfa eang</w:t>
            </w:r>
          </w:p>
          <w:p w:rsidR="00787E45" w:rsidRPr="00245F5B" w:rsidP="00787E45" w14:paraId="3C3919EC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10.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Profiad o ymgymryd ag ymchwil ddesg.</w:t>
            </w:r>
          </w:p>
          <w:p w:rsidR="00787E45" w:rsidRPr="00245F5B" w:rsidP="00787E45" w14:paraId="75A4386A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11.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Profiad o weithio'n llwyddiannus yn annibynnol a/neu gydag eraill mewn tîm i gyflawni canlyniadau.</w:t>
            </w:r>
          </w:p>
          <w:p w:rsidR="00787E45" w:rsidRPr="00245F5B" w:rsidP="00787E45" w14:paraId="381537DD" w14:textId="03EB2076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12.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Profiad a/neu gymwysterau wrth gyflawni prosiectau, datblygu a gweithio i gynlluniau, terfynau amser a cherrig milltir prosiectau.</w:t>
            </w:r>
          </w:p>
          <w:p w:rsidR="00787E45" w:rsidRPr="00245F5B" w:rsidP="00787E45" w14:paraId="210CEEC8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13.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Profiad o waith personâu a thaith cwsmeriaid – dylunio a dadansoddi, gan ddefnyddio data a deallusrwydd i lywio pob agwedd ar daith y cwsmer.</w:t>
            </w:r>
          </w:p>
          <w:p w:rsidR="00787E45" w:rsidRPr="00245F5B" w:rsidP="00787E45" w14:paraId="08312BCD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14.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Profiad o gomisiynu, goruchwylio a gwerthuso prosiectau ymchwil sylfaenol.</w:t>
            </w:r>
          </w:p>
          <w:p w:rsidR="00032111" w:rsidP="00032111" w14:paraId="7BB3D940" w14:textId="77777777">
            <w:pPr>
              <w:bidi w:val="0"/>
              <w:spacing w:before="100" w:beforeAutospacing="1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Gwybodaeth a Sgiliau:</w:t>
            </w:r>
          </w:p>
          <w:p w:rsidR="00637C8A" w:rsidRPr="00245F5B" w:rsidP="00637C8A" w14:paraId="7CE136F9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15.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Gallu datblygu, rheoli a dadansoddi canlyniadau grwpiau ffocws ac arolygon yn llwyddiannus. </w:t>
            </w:r>
          </w:p>
          <w:p w:rsidR="00637C8A" w:rsidRPr="00245F5B" w:rsidP="00637C8A" w14:paraId="6706DE19" w14:textId="7777777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16.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Sgiliau dadansoddol a datrys problemau ardderchog a'r gallu i feddwl yn strategol ac yn greadigol.</w:t>
            </w:r>
          </w:p>
          <w:p w:rsidR="00637C8A" w:rsidRPr="00245F5B" w:rsidP="00637C8A" w14:paraId="0D8357CD" w14:textId="3BF5E055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17.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Yn frwdfrydig am ddeall cwsmeriaid a'u hymddygiad drwy ddata.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br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18.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Sgiliau cyfathrebu ardderchog.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Yn gallu cyflwyno ar bynciau cymhleth i gynulleidfa nad yw'n gyfarwydd â'r pwnc i lefel uched.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br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19.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Rhaid gallu cynnal perthnasoedd cadarnhaol a chefnogol gyda'r holl randdeiliaid mewnol ac allanol.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br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20.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Rhaid gallu rheoli nifer o brosiectau a blaenoriaethau sy'n gwrthdaro ar unrhyw adeg benodol.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br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21.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Dealltwriaeth a phrofiad o foeseg sy'n ymwneud â phrosiectau ymchwil.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br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22.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Y gallu i herio safbwyntiau sefydledig yn hyderus drwy gyflwyno tystiolaeth, deallusrwydd ac argymhellion yn ddarbwyllol.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br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23.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Y gallu i gyflwyno data a deallusrwydd mewn ffyrdd creadigol a gafaelgar.</w:t>
            </w:r>
          </w:p>
          <w:p w:rsidR="00637C8A" w:rsidRPr="00245F5B" w:rsidP="00637C8A" w14:paraId="02CC0A79" w14:textId="77D49D27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24.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Tystiolaeth o'r gallu i reoli llwyth gwaith mawr a chynnal lefelau uchel o gywirdeb, a'r gallu i gynnal a chadw data, cofnodion a systemau mewn modd cywir.</w:t>
            </w:r>
          </w:p>
          <w:p w:rsidR="00637C8A" w:rsidRPr="00245F5B" w:rsidP="00637C8A" w14:paraId="68BA83DE" w14:textId="6E88437F">
            <w:pPr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25. </w:t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Sgiliau trefnu a chynllunio rhagorol.</w:t>
            </w:r>
          </w:p>
          <w:p w:rsidR="00525809" w:rsidP="00525809" w14:paraId="309AAE87" w14:textId="77777777">
            <w:pPr>
              <w:bidi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25809" w:rsidRPr="00136E89" w:rsidP="00525809" w14:paraId="392637B3" w14:textId="4EC8314A">
            <w:pPr>
              <w:bidi w:val="0"/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Y Gymraeg:</w:t>
            </w:r>
            <w:r>
              <w:rPr>
                <w:rFonts w:ascii="Calibri" w:hAnsi="Calibri"/>
                <w:b w:val="0"/>
                <w:sz w:val="22"/>
                <w:szCs w:val="22"/>
                <w:rtl w:val="0"/>
                <w:lang w:val="cy-GB"/>
              </w:rPr>
              <w:t xml:space="preserve"> </w:t>
            </w:r>
          </w:p>
          <w:p w:rsidR="00525809" w:rsidRPr="00955417" w:rsidP="00525809" w14:paraId="7C624E4E" w14:textId="7B70934F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 w:rsidRPr="00955417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Lefel 1 – ‘ychydig’ (ni fydd angen i chi allu siarad Cymraeg i gyflwyno cais am y rôl hon)</w:t>
            </w:r>
          </w:p>
          <w:p w:rsidR="00525809" w:rsidRPr="00955417" w:rsidP="00525809" w14:paraId="62630E1B" w14:textId="77777777">
            <w:pPr>
              <w:bidi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955417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e.e. ynganu geiriau Cymraeg, enwau lleoedd, enwau adrannau.</w:t>
            </w:r>
            <w:r w:rsidRPr="00955417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955417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ateb y ffôn yn Gymraeg (bore da/pnawn da).</w:t>
            </w:r>
            <w:r w:rsidRPr="00955417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955417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Gallu defnyddio/dysgu geiriau ac ymadroddion pob dydd sylfaenol (diolch, os gwelwch yn dda, esgusodwch fi).</w:t>
            </w:r>
            <w:r w:rsidRPr="00955417">
              <w:rPr>
                <w:rFonts w:ascii="Calibri" w:hAnsi="Calibri"/>
                <w:i w:val="0"/>
                <w:sz w:val="22"/>
                <w:szCs w:val="22"/>
                <w:rtl w:val="0"/>
                <w:lang w:val="cy-GB"/>
              </w:rPr>
              <w:t xml:space="preserve"> </w:t>
            </w:r>
            <w:r w:rsidRPr="00955417">
              <w:rPr>
                <w:rFonts w:ascii="Calibri" w:hAnsi="Calibri"/>
                <w:i/>
                <w:iCs/>
                <w:sz w:val="22"/>
                <w:szCs w:val="22"/>
                <w:rtl w:val="0"/>
                <w:lang w:val="cy-GB"/>
              </w:rPr>
              <w:t>Gallwch gyrraedd Lefel 1 drwy gwblhau cwrs hyfforddiant un awr.</w:t>
            </w:r>
          </w:p>
          <w:p w:rsidR="00525809" w:rsidRPr="00A51CAD" w:rsidP="00525809" w14:paraId="4811D0C6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</w:p>
          <w:p w:rsidR="00525809" w:rsidRPr="0095657A" w:rsidP="00525809" w14:paraId="6E8323A1" w14:textId="77777777">
            <w:pPr>
              <w:bidi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 xml:space="preserve">Am ragor o wybodaeth am Lefelau'r Iaith Gymraeg, gweler tudalen we’r Asesiad o Sgiliau Iaith Gymraeg, sydd ar gael </w:t>
            </w:r>
            <w:r>
              <w:fldChar w:fldCharType="begin"/>
            </w:r>
            <w:r>
              <w:instrText xml:space="preserve"> HYPERLINK "https://www.swansea.ac.uk/welsh-language-standards/compliance/recruitment/" </w:instrText>
            </w:r>
            <w:r>
              <w:fldChar w:fldCharType="separate"/>
            </w:r>
            <w:r w:rsidRPr="007A3478">
              <w:rPr>
                <w:rStyle w:val="Hyperlink"/>
                <w:rFonts w:ascii="Calibri" w:hAnsi="Calibri"/>
                <w:sz w:val="22"/>
                <w:szCs w:val="22"/>
                <w:u w:val="none"/>
                <w:rtl w:val="0"/>
                <w:lang w:val="cy-GB"/>
              </w:rPr>
              <w:t>yma</w:t>
            </w:r>
            <w:r>
              <w:fldChar w:fldCharType="end"/>
            </w:r>
            <w:r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.</w:t>
            </w:r>
          </w:p>
          <w:p w:rsidR="00D47657" w:rsidP="00955417" w14:paraId="2CB3E563" w14:textId="77777777">
            <w:pPr>
              <w:pStyle w:val="Title"/>
              <w:bidi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51936" w:rsidRPr="00351936" w:rsidP="00955417" w14:paraId="0ED9CE47" w14:textId="5053AFB0">
            <w:pPr>
              <w:pStyle w:val="Title"/>
              <w:bidi w:val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907138">
              <w:rPr>
                <w:rFonts w:ascii="Calibri" w:hAnsi="Calibri"/>
                <w:b/>
                <w:bCs/>
                <w:sz w:val="22"/>
                <w:szCs w:val="22"/>
                <w:u w:val="single"/>
                <w:rtl w:val="0"/>
                <w:lang w:val="cy-GB"/>
              </w:rPr>
              <w:t>Meini Prawf Dymunol:</w:t>
            </w:r>
            <w:r w:rsidRPr="00907138">
              <w:rPr>
                <w:rFonts w:ascii="Calibri" w:hAnsi="Calibri"/>
                <w:b/>
                <w:bCs/>
                <w:sz w:val="22"/>
                <w:szCs w:val="22"/>
                <w:u w:val="single"/>
                <w:rtl w:val="0"/>
                <w:lang w:val="cy-GB"/>
              </w:rPr>
              <w:br/>
            </w:r>
            <w:r w:rsidRPr="00907138">
              <w:rPr>
                <w:rFonts w:ascii="Calibri" w:hAnsi="Calibri"/>
                <w:b w:val="0"/>
                <w:sz w:val="22"/>
                <w:szCs w:val="22"/>
                <w:u w:val="none"/>
                <w:rtl w:val="0"/>
                <w:lang w:val="cy-GB"/>
              </w:rPr>
              <w:t>26. Gallu cyfathrebu yn Gymraeg</w:t>
              <w:br/>
              <w:t>27. Yn gyfarwydd â ffynonellau mewnol ac allanol o wybodaeth addysg uwch</w:t>
              <w:br/>
              <w:t>28. Cymhwyster ôl-raddedig a/neu broffesiynol.</w:t>
            </w:r>
            <w:r w:rsidRPr="00955417">
              <w:rPr>
                <w:rFonts w:asciiTheme="minorHAnsi" w:hAnsiTheme="minorHAnsi"/>
                <w:b w:val="0"/>
                <w:bCs/>
                <w:u w:val="none"/>
                <w:rtl w:val="0"/>
                <w:lang w:val="cy-GB"/>
              </w:rPr>
              <w:br/>
            </w:r>
            <w:r w:rsidRPr="00955417">
              <w:rPr>
                <w:rFonts w:asciiTheme="minorHAnsi" w:hAnsiTheme="minorHAnsi"/>
                <w:b w:val="0"/>
                <w:bCs/>
                <w:sz w:val="22"/>
                <w:szCs w:val="22"/>
                <w:u w:val="none"/>
                <w:rtl w:val="0"/>
                <w:lang w:val="cy-GB"/>
              </w:rPr>
              <w:t>29. Tystiolaeth o arwain tîm yn llwyddiannus, creu diwylliant sy'n cymell eraill i ganolbwyntio ar ganlyniadau a pherfformio'n effeithiol i fwyafu twf y sefydliad</w:t>
            </w:r>
          </w:p>
        </w:tc>
      </w:tr>
      <w:tr w14:paraId="02D360F7" w14:textId="77777777" w:rsidTr="00C20347">
        <w:tblPrEx>
          <w:tblW w:w="10916" w:type="dxa"/>
          <w:tblInd w:w="-176" w:type="dxa"/>
          <w:tblLayout w:type="fixed"/>
          <w:tblLook w:val="04A0"/>
        </w:tblPrEx>
        <w:trPr>
          <w:trHeight w:val="2097"/>
        </w:trPr>
        <w:tc>
          <w:tcPr>
            <w:tcW w:w="1560" w:type="dxa"/>
            <w:shd w:val="clear" w:color="auto" w:fill="366091" w:themeFill="accent1" w:themeFillShade="BF"/>
            <w:vAlign w:val="center"/>
          </w:tcPr>
          <w:p w:rsidR="00C20347" w:rsidRPr="009505FD" w:rsidP="00C20347" w14:paraId="12E7B27B" w14:textId="77777777">
            <w:pPr>
              <w:bidi w:val="0"/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Gwybodaeth Ychwanegol</w:t>
            </w:r>
          </w:p>
        </w:tc>
        <w:tc>
          <w:tcPr>
            <w:tcW w:w="9356" w:type="dxa"/>
          </w:tcPr>
          <w:p w:rsidR="00C20347" w:rsidRPr="009505FD" w:rsidP="00C20347" w14:paraId="5DB6D825" w14:textId="4FD65DFD">
            <w:pPr>
              <w:bidi w:val="0"/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 xml:space="preserve">Ymholiadau anffurfiol: </w:t>
            </w: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>e-bostiwch Danielle Rawlings yn d.l.rawlings@abertawe.ac.uk</w:t>
            </w:r>
          </w:p>
          <w:p w:rsidR="00C20347" w:rsidRPr="009505FD" w:rsidP="00C20347" w14:paraId="4A8EFDE0" w14:textId="3587CB81">
            <w:pPr>
              <w:bidi w:val="0"/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 xml:space="preserve">Dyddiad llunio’r rhestr fer: </w:t>
            </w:r>
          </w:p>
          <w:p w:rsidR="00C20347" w:rsidRPr="00955417" w:rsidP="00955417" w14:paraId="4A4CE3FE" w14:textId="4D10A865">
            <w:pPr>
              <w:bidi w:val="0"/>
              <w:spacing w:before="100" w:beforeAutospacing="1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9505FD">
              <w:rPr>
                <w:rFonts w:asciiTheme="minorHAnsi" w:hAnsiTheme="minorHAnsi"/>
                <w:color w:val="000000"/>
                <w:sz w:val="22"/>
                <w:rtl w:val="0"/>
                <w:lang w:val="cy-GB" w:eastAsia="en-GB"/>
              </w:rPr>
              <w:t>Dyddiad y cyfweliadau:</w:t>
            </w:r>
          </w:p>
        </w:tc>
      </w:tr>
    </w:tbl>
    <w:p w:rsidR="003A6CD1" w:rsidP="00703D00" w14:paraId="023BA778" w14:textId="77777777">
      <w:pPr>
        <w:bidi w:val="0"/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213360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rPr>
          <w:rtl w:val="0"/>
          <w:lang w:val="cy-GB"/>
        </w:rPr>
        <w:tab/>
        <w:tab/>
      </w:r>
      <w:r>
        <w:rPr>
          <w:noProof/>
          <w:lang w:eastAsia="en-GB"/>
        </w:rPr>
        <w:drawing>
          <wp:inline distT="0" distB="0" distL="0" distR="0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920182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rPr>
          <w:rtl w:val="0"/>
          <w:lang w:val="cy-GB"/>
        </w:rPr>
        <w:tab/>
        <w:tab/>
        <w:tab/>
        <w:tab/>
      </w:r>
      <w:r w:rsidR="00B91EE8">
        <w:rPr>
          <w:noProof/>
          <w:lang w:eastAsia="en-GB"/>
        </w:rPr>
        <w:drawing>
          <wp:inline distT="0" distB="0" distL="0" distR="0">
            <wp:extent cx="914400" cy="621792"/>
            <wp:effectExtent l="0" t="0" r="0" b="6985"/>
            <wp:docPr id="1382604212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716094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071FA7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392BC038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525809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525809">
              <w:rPr>
                <w:b/>
                <w:bCs/>
                <w:noProof/>
                <w:sz w:val="18"/>
                <w:szCs w:val="18"/>
              </w:rPr>
              <w:t>4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5E79FCFB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DF5D93"/>
    <w:multiLevelType w:val="hybridMultilevel"/>
    <w:tmpl w:val="D25A47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9B5"/>
    <w:multiLevelType w:val="hybridMultilevel"/>
    <w:tmpl w:val="CCFEAB48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5B39"/>
    <w:multiLevelType w:val="hybridMultilevel"/>
    <w:tmpl w:val="057E25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4C5B"/>
    <w:multiLevelType w:val="hybridMultilevel"/>
    <w:tmpl w:val="EE2008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057563"/>
    <w:multiLevelType w:val="hybridMultilevel"/>
    <w:tmpl w:val="68A84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0E4F"/>
    <w:rsid w:val="00003A9F"/>
    <w:rsid w:val="0000597A"/>
    <w:rsid w:val="000309C6"/>
    <w:rsid w:val="000319A7"/>
    <w:rsid w:val="00032111"/>
    <w:rsid w:val="00041C59"/>
    <w:rsid w:val="00045410"/>
    <w:rsid w:val="000478EB"/>
    <w:rsid w:val="00052ED8"/>
    <w:rsid w:val="00056648"/>
    <w:rsid w:val="00057D75"/>
    <w:rsid w:val="000645DA"/>
    <w:rsid w:val="00071FA7"/>
    <w:rsid w:val="00073847"/>
    <w:rsid w:val="00075AD1"/>
    <w:rsid w:val="0009608F"/>
    <w:rsid w:val="00096D40"/>
    <w:rsid w:val="000A0A32"/>
    <w:rsid w:val="000A1F09"/>
    <w:rsid w:val="000C032E"/>
    <w:rsid w:val="000C6FD7"/>
    <w:rsid w:val="000C7627"/>
    <w:rsid w:val="000D4150"/>
    <w:rsid w:val="000E5E21"/>
    <w:rsid w:val="000E616A"/>
    <w:rsid w:val="000E6FC6"/>
    <w:rsid w:val="00100B79"/>
    <w:rsid w:val="001020B5"/>
    <w:rsid w:val="00102EC3"/>
    <w:rsid w:val="00104F45"/>
    <w:rsid w:val="001056D6"/>
    <w:rsid w:val="00105D8C"/>
    <w:rsid w:val="00114408"/>
    <w:rsid w:val="00122464"/>
    <w:rsid w:val="001316E0"/>
    <w:rsid w:val="00136537"/>
    <w:rsid w:val="00136E89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1551"/>
    <w:rsid w:val="00184232"/>
    <w:rsid w:val="00191023"/>
    <w:rsid w:val="00192C84"/>
    <w:rsid w:val="00194F27"/>
    <w:rsid w:val="001A3C60"/>
    <w:rsid w:val="001B63F3"/>
    <w:rsid w:val="001C158B"/>
    <w:rsid w:val="001D1526"/>
    <w:rsid w:val="001D3E13"/>
    <w:rsid w:val="001E1D09"/>
    <w:rsid w:val="002029C1"/>
    <w:rsid w:val="002035A5"/>
    <w:rsid w:val="00206C5E"/>
    <w:rsid w:val="00212A33"/>
    <w:rsid w:val="00212E08"/>
    <w:rsid w:val="002328F2"/>
    <w:rsid w:val="00233347"/>
    <w:rsid w:val="00233F21"/>
    <w:rsid w:val="002359E5"/>
    <w:rsid w:val="002412E4"/>
    <w:rsid w:val="0024288D"/>
    <w:rsid w:val="002428AB"/>
    <w:rsid w:val="00245F5B"/>
    <w:rsid w:val="00260115"/>
    <w:rsid w:val="00260799"/>
    <w:rsid w:val="00260912"/>
    <w:rsid w:val="0026236D"/>
    <w:rsid w:val="002704B8"/>
    <w:rsid w:val="00271163"/>
    <w:rsid w:val="00273CCF"/>
    <w:rsid w:val="002742F8"/>
    <w:rsid w:val="00290918"/>
    <w:rsid w:val="00296E2D"/>
    <w:rsid w:val="002978DC"/>
    <w:rsid w:val="002A3E38"/>
    <w:rsid w:val="002B08D5"/>
    <w:rsid w:val="002C32C6"/>
    <w:rsid w:val="002C34AC"/>
    <w:rsid w:val="002C481E"/>
    <w:rsid w:val="002C5895"/>
    <w:rsid w:val="002D0DDE"/>
    <w:rsid w:val="002D4D90"/>
    <w:rsid w:val="002D540F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326E3"/>
    <w:rsid w:val="003403F7"/>
    <w:rsid w:val="00343462"/>
    <w:rsid w:val="0034523F"/>
    <w:rsid w:val="00351936"/>
    <w:rsid w:val="003529EB"/>
    <w:rsid w:val="003553F3"/>
    <w:rsid w:val="00372510"/>
    <w:rsid w:val="003812E5"/>
    <w:rsid w:val="00381EF9"/>
    <w:rsid w:val="00391403"/>
    <w:rsid w:val="00393054"/>
    <w:rsid w:val="003A1C21"/>
    <w:rsid w:val="003A2833"/>
    <w:rsid w:val="003A2F91"/>
    <w:rsid w:val="003A4E26"/>
    <w:rsid w:val="003A67FB"/>
    <w:rsid w:val="003A6CD1"/>
    <w:rsid w:val="003B2354"/>
    <w:rsid w:val="003B6BA9"/>
    <w:rsid w:val="003B7784"/>
    <w:rsid w:val="003F05A7"/>
    <w:rsid w:val="00402B41"/>
    <w:rsid w:val="0040418E"/>
    <w:rsid w:val="00407E86"/>
    <w:rsid w:val="00411795"/>
    <w:rsid w:val="0041604A"/>
    <w:rsid w:val="00417174"/>
    <w:rsid w:val="00423C6E"/>
    <w:rsid w:val="00424B16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82C61"/>
    <w:rsid w:val="004B0C32"/>
    <w:rsid w:val="004B135C"/>
    <w:rsid w:val="004B35E2"/>
    <w:rsid w:val="004B5FE9"/>
    <w:rsid w:val="004B61C8"/>
    <w:rsid w:val="004C62F4"/>
    <w:rsid w:val="004C6BBE"/>
    <w:rsid w:val="004D1721"/>
    <w:rsid w:val="004D1EC0"/>
    <w:rsid w:val="004E0A8E"/>
    <w:rsid w:val="004F55E6"/>
    <w:rsid w:val="00502449"/>
    <w:rsid w:val="00502939"/>
    <w:rsid w:val="0052560E"/>
    <w:rsid w:val="00525809"/>
    <w:rsid w:val="00525B03"/>
    <w:rsid w:val="00534D84"/>
    <w:rsid w:val="00535C56"/>
    <w:rsid w:val="00537214"/>
    <w:rsid w:val="00554538"/>
    <w:rsid w:val="00561901"/>
    <w:rsid w:val="00564091"/>
    <w:rsid w:val="005701D8"/>
    <w:rsid w:val="00573A45"/>
    <w:rsid w:val="00574360"/>
    <w:rsid w:val="00575503"/>
    <w:rsid w:val="00576988"/>
    <w:rsid w:val="005816EA"/>
    <w:rsid w:val="00582A3A"/>
    <w:rsid w:val="00592F36"/>
    <w:rsid w:val="00597F67"/>
    <w:rsid w:val="005C1D6F"/>
    <w:rsid w:val="005C37D4"/>
    <w:rsid w:val="005C5A1C"/>
    <w:rsid w:val="005C6B9A"/>
    <w:rsid w:val="005D53F0"/>
    <w:rsid w:val="005F2E9F"/>
    <w:rsid w:val="005F5AEB"/>
    <w:rsid w:val="005F7C7D"/>
    <w:rsid w:val="00601312"/>
    <w:rsid w:val="00603529"/>
    <w:rsid w:val="00612F81"/>
    <w:rsid w:val="006131CF"/>
    <w:rsid w:val="00616902"/>
    <w:rsid w:val="00625259"/>
    <w:rsid w:val="0062545A"/>
    <w:rsid w:val="00626861"/>
    <w:rsid w:val="00626E4F"/>
    <w:rsid w:val="00635276"/>
    <w:rsid w:val="00637C74"/>
    <w:rsid w:val="00637C8A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A3FC7"/>
    <w:rsid w:val="006B363E"/>
    <w:rsid w:val="006B3DC3"/>
    <w:rsid w:val="006C52C1"/>
    <w:rsid w:val="006D6147"/>
    <w:rsid w:val="006D65B1"/>
    <w:rsid w:val="006E0C67"/>
    <w:rsid w:val="006E5900"/>
    <w:rsid w:val="006F2685"/>
    <w:rsid w:val="006F5FF1"/>
    <w:rsid w:val="00701122"/>
    <w:rsid w:val="00702CB7"/>
    <w:rsid w:val="00703930"/>
    <w:rsid w:val="00703D00"/>
    <w:rsid w:val="007117A1"/>
    <w:rsid w:val="00721101"/>
    <w:rsid w:val="007241F0"/>
    <w:rsid w:val="00724E14"/>
    <w:rsid w:val="00735118"/>
    <w:rsid w:val="00746D69"/>
    <w:rsid w:val="00761195"/>
    <w:rsid w:val="007678C8"/>
    <w:rsid w:val="0077392A"/>
    <w:rsid w:val="00774D92"/>
    <w:rsid w:val="00777596"/>
    <w:rsid w:val="00787E45"/>
    <w:rsid w:val="00790AC8"/>
    <w:rsid w:val="00793B7F"/>
    <w:rsid w:val="00795733"/>
    <w:rsid w:val="00796156"/>
    <w:rsid w:val="007A3478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216F"/>
    <w:rsid w:val="00805807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4D8C"/>
    <w:rsid w:val="00867CA8"/>
    <w:rsid w:val="00876A2B"/>
    <w:rsid w:val="00876F4A"/>
    <w:rsid w:val="00883B48"/>
    <w:rsid w:val="008905E2"/>
    <w:rsid w:val="008A0CB0"/>
    <w:rsid w:val="008A3412"/>
    <w:rsid w:val="008B0243"/>
    <w:rsid w:val="008B228E"/>
    <w:rsid w:val="008B560B"/>
    <w:rsid w:val="008B6B27"/>
    <w:rsid w:val="008C2238"/>
    <w:rsid w:val="008C2FFB"/>
    <w:rsid w:val="008D7520"/>
    <w:rsid w:val="008F2A5E"/>
    <w:rsid w:val="00903A15"/>
    <w:rsid w:val="00904540"/>
    <w:rsid w:val="00907138"/>
    <w:rsid w:val="009156FF"/>
    <w:rsid w:val="00921FEB"/>
    <w:rsid w:val="00933256"/>
    <w:rsid w:val="00940B3D"/>
    <w:rsid w:val="00945F31"/>
    <w:rsid w:val="009505FD"/>
    <w:rsid w:val="00950DE2"/>
    <w:rsid w:val="00955417"/>
    <w:rsid w:val="0095657A"/>
    <w:rsid w:val="00957F6A"/>
    <w:rsid w:val="00975A03"/>
    <w:rsid w:val="00982607"/>
    <w:rsid w:val="00985D5B"/>
    <w:rsid w:val="00987040"/>
    <w:rsid w:val="00990E61"/>
    <w:rsid w:val="00992EA0"/>
    <w:rsid w:val="00995043"/>
    <w:rsid w:val="00995A7A"/>
    <w:rsid w:val="009A4E11"/>
    <w:rsid w:val="009A60BE"/>
    <w:rsid w:val="009A7160"/>
    <w:rsid w:val="009A7443"/>
    <w:rsid w:val="009B7EDD"/>
    <w:rsid w:val="009C3A29"/>
    <w:rsid w:val="009C59E8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A00256"/>
    <w:rsid w:val="00A16319"/>
    <w:rsid w:val="00A20C49"/>
    <w:rsid w:val="00A240FB"/>
    <w:rsid w:val="00A25463"/>
    <w:rsid w:val="00A259AD"/>
    <w:rsid w:val="00A27E7B"/>
    <w:rsid w:val="00A35F9F"/>
    <w:rsid w:val="00A51CAD"/>
    <w:rsid w:val="00A61648"/>
    <w:rsid w:val="00A71A31"/>
    <w:rsid w:val="00A73F93"/>
    <w:rsid w:val="00A76124"/>
    <w:rsid w:val="00A76C05"/>
    <w:rsid w:val="00A774D2"/>
    <w:rsid w:val="00AA1E18"/>
    <w:rsid w:val="00AA527B"/>
    <w:rsid w:val="00AD600E"/>
    <w:rsid w:val="00AE0292"/>
    <w:rsid w:val="00AE07EE"/>
    <w:rsid w:val="00AF0B1A"/>
    <w:rsid w:val="00B0134D"/>
    <w:rsid w:val="00B053E7"/>
    <w:rsid w:val="00B12C23"/>
    <w:rsid w:val="00B13F6A"/>
    <w:rsid w:val="00B17469"/>
    <w:rsid w:val="00B20D9C"/>
    <w:rsid w:val="00B238A5"/>
    <w:rsid w:val="00B25184"/>
    <w:rsid w:val="00B25EFC"/>
    <w:rsid w:val="00B26E2E"/>
    <w:rsid w:val="00B3299D"/>
    <w:rsid w:val="00B418BB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592D"/>
    <w:rsid w:val="00BA120F"/>
    <w:rsid w:val="00BD5F83"/>
    <w:rsid w:val="00BE2F4E"/>
    <w:rsid w:val="00BF1362"/>
    <w:rsid w:val="00BF77C4"/>
    <w:rsid w:val="00C047EC"/>
    <w:rsid w:val="00C13FFF"/>
    <w:rsid w:val="00C15DD8"/>
    <w:rsid w:val="00C176AE"/>
    <w:rsid w:val="00C17D8D"/>
    <w:rsid w:val="00C20347"/>
    <w:rsid w:val="00C228BF"/>
    <w:rsid w:val="00C22A02"/>
    <w:rsid w:val="00C30A2D"/>
    <w:rsid w:val="00C30BA8"/>
    <w:rsid w:val="00C31492"/>
    <w:rsid w:val="00C33C07"/>
    <w:rsid w:val="00C35207"/>
    <w:rsid w:val="00C42E48"/>
    <w:rsid w:val="00C461A6"/>
    <w:rsid w:val="00C61BF8"/>
    <w:rsid w:val="00C70DEF"/>
    <w:rsid w:val="00C76EFF"/>
    <w:rsid w:val="00C81779"/>
    <w:rsid w:val="00C81F6F"/>
    <w:rsid w:val="00C85711"/>
    <w:rsid w:val="00C8616B"/>
    <w:rsid w:val="00C87345"/>
    <w:rsid w:val="00C90423"/>
    <w:rsid w:val="00C968EB"/>
    <w:rsid w:val="00CA19D1"/>
    <w:rsid w:val="00CA6EDB"/>
    <w:rsid w:val="00CB048C"/>
    <w:rsid w:val="00CC057A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22A3B"/>
    <w:rsid w:val="00D24960"/>
    <w:rsid w:val="00D25B96"/>
    <w:rsid w:val="00D32878"/>
    <w:rsid w:val="00D4206A"/>
    <w:rsid w:val="00D44085"/>
    <w:rsid w:val="00D47657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9616C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0E10"/>
    <w:rsid w:val="00EC5762"/>
    <w:rsid w:val="00EC7756"/>
    <w:rsid w:val="00ED4FCB"/>
    <w:rsid w:val="00EF6112"/>
    <w:rsid w:val="00EF6C14"/>
    <w:rsid w:val="00F02CF7"/>
    <w:rsid w:val="00F050BD"/>
    <w:rsid w:val="00F07167"/>
    <w:rsid w:val="00F07D7C"/>
    <w:rsid w:val="00F12ECF"/>
    <w:rsid w:val="00F170E0"/>
    <w:rsid w:val="00F27F48"/>
    <w:rsid w:val="00F326DD"/>
    <w:rsid w:val="00F424B0"/>
    <w:rsid w:val="00F455F6"/>
    <w:rsid w:val="00F548DF"/>
    <w:rsid w:val="00F62AD1"/>
    <w:rsid w:val="00F70F83"/>
    <w:rsid w:val="00F72635"/>
    <w:rsid w:val="00F72A39"/>
    <w:rsid w:val="00F77EBA"/>
    <w:rsid w:val="00F860F9"/>
    <w:rsid w:val="00FA0E3B"/>
    <w:rsid w:val="00FA15B2"/>
    <w:rsid w:val="00FA588E"/>
    <w:rsid w:val="00FB1F29"/>
    <w:rsid w:val="00FB7B67"/>
    <w:rsid w:val="00FD69DD"/>
    <w:rsid w:val="00FE6BDA"/>
    <w:rsid w:val="00FE6E69"/>
    <w:rsid w:val="00FF2373"/>
    <w:rsid w:val="00FF337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B82B5DC-466A-4018-B549-7E3A30DB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uiPriority w:val="99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paragraph" w:styleId="Title">
    <w:name w:val="Title"/>
    <w:basedOn w:val="Normal"/>
    <w:link w:val="TitleChar"/>
    <w:qFormat/>
    <w:rsid w:val="00351936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351936"/>
    <w:rPr>
      <w:rFonts w:ascii="Times New Roman" w:eastAsia="Times New Roman" w:hAnsi="Times New Roman" w:cs="Times New Roman"/>
      <w:b/>
      <w:sz w:val="32"/>
      <w:u w:val="single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image" Target="media/image4.jpeg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19" ma:contentTypeDescription="Create a new document." ma:contentTypeScope="" ma:versionID="3ce1b3cad74bcad5501bfbd2a332c611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AE9A1-49C7-4596-8210-BB2829CA2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121A1-EA8A-477F-98CA-098BCAF15701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customXml/itemProps3.xml><?xml version="1.0" encoding="utf-8"?>
<ds:datastoreItem xmlns:ds="http://schemas.openxmlformats.org/officeDocument/2006/customXml" ds:itemID="{A2FBA691-3C5F-4F57-AAD0-2DD119498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039CD-5345-4E68-A49A-A0CB2EF7B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Danielle Rawlings</cp:lastModifiedBy>
  <cp:revision>35</cp:revision>
  <cp:lastPrinted>2015-08-26T11:17:00Z</cp:lastPrinted>
  <dcterms:created xsi:type="dcterms:W3CDTF">2024-02-19T10:49:00Z</dcterms:created>
  <dcterms:modified xsi:type="dcterms:W3CDTF">2024-02-26T11:46:00Z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</Properties>
</file>